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5C6B0A" w14:textId="77777777" w:rsidR="004A52E3" w:rsidRPr="006946CD" w:rsidRDefault="009967CC">
      <w:pPr>
        <w:pStyle w:val="Nessunaspaziatura"/>
        <w:rPr>
          <w:rFonts w:ascii="Arial" w:hAnsi="Arial" w:cs="Arial"/>
          <w:b/>
          <w:sz w:val="20"/>
          <w:szCs w:val="20"/>
        </w:rPr>
      </w:pPr>
      <w:r>
        <w:rPr>
          <w:noProof/>
        </w:rPr>
        <w:pict w14:anchorId="21D20C6E">
          <v:rect id="Cornice1" o:spid="_x0000_s1026" style="position:absolute;margin-left:298.35pt;margin-top:-23.45pt;width:140.25pt;height:118.35pt;z-index:3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" o:allowincell="f" strokeweight=".05pt">
            <v:stroke joinstyle="round"/>
            <v:textbox>
              <w:txbxContent>
                <w:p w14:paraId="2BAF0F14" w14:textId="3E72B347" w:rsidR="004A52E3" w:rsidRDefault="00C11CCC">
                  <w:pPr>
                    <w:pStyle w:val="Contenutocornice"/>
                  </w:pPr>
                  <w:r>
                    <w:rPr>
                      <w:rFonts w:ascii="Lato Medium" w:hAnsi="Lato Medium"/>
                      <w:color w:val="000000"/>
                      <w:sz w:val="16"/>
                      <w:szCs w:val="16"/>
                    </w:rPr>
                    <w:t xml:space="preserve">Allegato n. </w:t>
                  </w:r>
                  <w:r w:rsidR="00090CDE">
                    <w:rPr>
                      <w:rFonts w:ascii="Lato Medium" w:hAnsi="Lato Medium"/>
                      <w:color w:val="000000"/>
                      <w:sz w:val="16"/>
                      <w:szCs w:val="16"/>
                    </w:rPr>
                    <w:t>3</w:t>
                  </w:r>
                  <w:r>
                    <w:rPr>
                      <w:rFonts w:ascii="Lato Medium" w:hAnsi="Lato Medium"/>
                      <w:color w:val="000000"/>
                      <w:sz w:val="16"/>
                      <w:szCs w:val="16"/>
                    </w:rPr>
                    <w:t xml:space="preserve"> numero pagine </w:t>
                  </w:r>
                  <w:r w:rsidR="00F86F66">
                    <w:rPr>
                      <w:rFonts w:ascii="Lato Medium" w:hAnsi="Lato Medium"/>
                      <w:color w:val="000000"/>
                      <w:sz w:val="16"/>
                      <w:szCs w:val="16"/>
                    </w:rPr>
                    <w:t>_</w:t>
                  </w:r>
                </w:p>
                <w:p w14:paraId="75E249DB" w14:textId="77777777" w:rsidR="004A52E3" w:rsidRDefault="00C11CCC">
                  <w:pPr>
                    <w:pStyle w:val="Contenutocornice"/>
                  </w:pPr>
                  <w:r>
                    <w:rPr>
                      <w:rFonts w:ascii="Lato Medium" w:hAnsi="Lato Medium"/>
                      <w:color w:val="000000"/>
                      <w:sz w:val="16"/>
                      <w:szCs w:val="16"/>
                    </w:rPr>
                    <w:t xml:space="preserve">parte integrante della Proposta di Deliberazione di Consiglio Comunale  </w:t>
                  </w:r>
                </w:p>
                <w:p w14:paraId="05383D5D" w14:textId="598592F3" w:rsidR="00890019" w:rsidRDefault="00C11CCC">
                  <w:pPr>
                    <w:pStyle w:val="Contenutocornice"/>
                    <w:rPr>
                      <w:rFonts w:ascii="Lato Medium" w:hAnsi="Lato Medium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Lato Medium" w:hAnsi="Lato Medium"/>
                      <w:color w:val="000000"/>
                      <w:sz w:val="16"/>
                      <w:szCs w:val="16"/>
                    </w:rPr>
                    <w:t xml:space="preserve">n° </w:t>
                  </w:r>
                  <w:r w:rsidR="00E369B5">
                    <w:rPr>
                      <w:rFonts w:ascii="Lato Medium" w:hAnsi="Lato Medium"/>
                      <w:color w:val="000000"/>
                      <w:sz w:val="16"/>
                      <w:szCs w:val="16"/>
                    </w:rPr>
                    <w:t>916 del 20 giugno</w:t>
                  </w:r>
                  <w:r>
                    <w:rPr>
                      <w:rFonts w:ascii="Lato Medium" w:hAnsi="Lato Medium"/>
                      <w:color w:val="000000"/>
                      <w:sz w:val="16"/>
                      <w:szCs w:val="16"/>
                    </w:rPr>
                    <w:t xml:space="preserve"> </w:t>
                  </w:r>
                  <w:r w:rsidR="006E699C">
                    <w:rPr>
                      <w:rFonts w:ascii="Lato Medium" w:hAnsi="Lato Medium"/>
                      <w:color w:val="000000"/>
                      <w:sz w:val="16"/>
                      <w:szCs w:val="16"/>
                    </w:rPr>
                    <w:t>2024</w:t>
                  </w:r>
                  <w:r w:rsidR="005A29F1">
                    <w:rPr>
                      <w:rFonts w:ascii="Lato Medium" w:hAnsi="Lato Medium"/>
                      <w:color w:val="000000"/>
                      <w:sz w:val="16"/>
                      <w:szCs w:val="16"/>
                    </w:rPr>
                    <w:t xml:space="preserve"> </w:t>
                  </w:r>
                  <w:r>
                    <w:rPr>
                      <w:rFonts w:ascii="Lato Medium" w:hAnsi="Lato Medium"/>
                      <w:color w:val="000000"/>
                      <w:sz w:val="16"/>
                      <w:szCs w:val="16"/>
                    </w:rPr>
                    <w:t xml:space="preserve">                             </w:t>
                  </w:r>
                </w:p>
                <w:p w14:paraId="5996D45A" w14:textId="77777777" w:rsidR="00890019" w:rsidRDefault="00890019">
                  <w:pPr>
                    <w:pStyle w:val="Contenutocornice"/>
                    <w:rPr>
                      <w:rFonts w:ascii="Lato Medium" w:hAnsi="Lato Medium"/>
                      <w:color w:val="000000"/>
                      <w:sz w:val="16"/>
                      <w:szCs w:val="16"/>
                    </w:rPr>
                  </w:pPr>
                </w:p>
                <w:p w14:paraId="72CFA4EC" w14:textId="77777777" w:rsidR="00E02D1A" w:rsidRDefault="0070626A">
                  <w:pPr>
                    <w:pStyle w:val="Contenutocornice"/>
                    <w:rPr>
                      <w:rFonts w:ascii="Lato Medium" w:hAnsi="Lato Medium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Lato Medium" w:hAnsi="Lato Medium"/>
                      <w:color w:val="000000"/>
                      <w:sz w:val="16"/>
                      <w:szCs w:val="16"/>
                    </w:rPr>
                    <w:t xml:space="preserve">Il </w:t>
                  </w:r>
                  <w:r w:rsidR="00C11CCC">
                    <w:rPr>
                      <w:rFonts w:ascii="Lato Medium" w:hAnsi="Lato Medium"/>
                      <w:color w:val="000000"/>
                      <w:sz w:val="16"/>
                      <w:szCs w:val="16"/>
                    </w:rPr>
                    <w:t>Direttore dell</w:t>
                  </w:r>
                  <w:r w:rsidR="00E02D1A">
                    <w:rPr>
                      <w:rFonts w:ascii="Lato Medium" w:hAnsi="Lato Medium"/>
                      <w:color w:val="000000"/>
                      <w:sz w:val="16"/>
                      <w:szCs w:val="16"/>
                    </w:rPr>
                    <w:t>’Area Procedure Coattive</w:t>
                  </w:r>
                </w:p>
                <w:p w14:paraId="0A5D6A0C" w14:textId="74300F80" w:rsidR="004A52E3" w:rsidRDefault="00C11CCC">
                  <w:pPr>
                    <w:pStyle w:val="Contenutocornice"/>
                    <w:rPr>
                      <w:rFonts w:ascii="Lato Medium" w:eastAsiaTheme="minorHAnsi" w:hAnsi="Lato Medium" w:cs="Calibri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Lato Medium" w:eastAsiaTheme="minorHAnsi" w:hAnsi="Lato Medium" w:cs="Calibri"/>
                      <w:color w:val="000000"/>
                      <w:sz w:val="16"/>
                      <w:szCs w:val="16"/>
                      <w:lang w:eastAsia="en-US"/>
                    </w:rPr>
                    <w:t>F.to digitalmente</w:t>
                  </w:r>
                </w:p>
                <w:p w14:paraId="3CBA10AC" w14:textId="1AC0170C" w:rsidR="00890019" w:rsidRDefault="00797E4E">
                  <w:pPr>
                    <w:pStyle w:val="Contenutocornice"/>
                    <w:rPr>
                      <w:rFonts w:ascii="Lato Medium" w:eastAsiaTheme="minorHAnsi" w:hAnsi="Lato Medium" w:cs="Calibri"/>
                      <w:color w:val="000000"/>
                      <w:sz w:val="16"/>
                      <w:szCs w:val="16"/>
                      <w:lang w:eastAsia="en-US"/>
                    </w:rPr>
                  </w:pPr>
                  <w:r>
                    <w:rPr>
                      <w:rFonts w:ascii="Lato Medium" w:eastAsiaTheme="minorHAnsi" w:hAnsi="Lato Medium" w:cs="Calibri"/>
                      <w:color w:val="000000"/>
                      <w:sz w:val="16"/>
                      <w:szCs w:val="16"/>
                      <w:lang w:eastAsia="en-US"/>
                    </w:rPr>
                    <w:t>D</w:t>
                  </w:r>
                  <w:r w:rsidR="00E02D1A">
                    <w:rPr>
                      <w:rFonts w:ascii="Lato Medium" w:eastAsiaTheme="minorHAnsi" w:hAnsi="Lato Medium" w:cs="Calibri"/>
                      <w:color w:val="000000"/>
                      <w:sz w:val="16"/>
                      <w:szCs w:val="16"/>
                      <w:lang w:eastAsia="en-US"/>
                    </w:rPr>
                    <w:t>r.</w:t>
                  </w:r>
                  <w:r>
                    <w:rPr>
                      <w:rFonts w:ascii="Lato Medium" w:eastAsiaTheme="minorHAnsi" w:hAnsi="Lato Medium" w:cs="Calibri"/>
                      <w:color w:val="000000"/>
                      <w:sz w:val="16"/>
                      <w:szCs w:val="16"/>
                      <w:lang w:eastAsia="en-US"/>
                    </w:rPr>
                    <w:t xml:space="preserve"> A</w:t>
                  </w:r>
                  <w:r w:rsidR="00E02D1A">
                    <w:rPr>
                      <w:rFonts w:ascii="Lato Medium" w:eastAsiaTheme="minorHAnsi" w:hAnsi="Lato Medium" w:cs="Calibri"/>
                      <w:color w:val="000000"/>
                      <w:sz w:val="16"/>
                      <w:szCs w:val="16"/>
                      <w:lang w:eastAsia="en-US"/>
                    </w:rPr>
                    <w:t>ndrea Lanzi</w:t>
                  </w:r>
                  <w:r>
                    <w:rPr>
                      <w:rFonts w:ascii="Lato Medium" w:eastAsiaTheme="minorHAnsi" w:hAnsi="Lato Medium" w:cs="Calibri"/>
                      <w:color w:val="000000"/>
                      <w:sz w:val="16"/>
                      <w:szCs w:val="16"/>
                      <w:lang w:eastAsia="en-US"/>
                    </w:rPr>
                    <w:tab/>
                  </w:r>
                </w:p>
              </w:txbxContent>
            </v:textbox>
          </v:rect>
        </w:pict>
      </w:r>
      <w:r w:rsidR="00C11CCC" w:rsidRPr="006946CD">
        <w:rPr>
          <w:noProof/>
        </w:rPr>
        <w:drawing>
          <wp:inline distT="0" distB="0" distL="0" distR="0" wp14:anchorId="12338D50" wp14:editId="5EC0F620">
            <wp:extent cx="1317625" cy="654685"/>
            <wp:effectExtent l="0" t="0" r="0" b="0"/>
            <wp:docPr id="3" name="Immagine 5" descr="semplice_orrizontale_ner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 5" descr="semplice_orrizontale_nero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490" t="32341" r="9928" b="368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7625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832B5C" w14:textId="77777777" w:rsidR="004A52E3" w:rsidRPr="006946CD" w:rsidRDefault="004A52E3">
      <w:pPr>
        <w:pStyle w:val="Nessunaspaziatura"/>
        <w:rPr>
          <w:rFonts w:ascii="Arial" w:hAnsi="Arial" w:cs="Arial"/>
          <w:b/>
          <w:sz w:val="20"/>
          <w:szCs w:val="20"/>
        </w:rPr>
      </w:pPr>
    </w:p>
    <w:p w14:paraId="62234242" w14:textId="77777777" w:rsidR="004A52E3" w:rsidRPr="006946CD" w:rsidRDefault="004A52E3">
      <w:pPr>
        <w:pStyle w:val="Nessunaspaziatura"/>
        <w:rPr>
          <w:rFonts w:ascii="Arial" w:hAnsi="Arial" w:cs="Arial"/>
          <w:b/>
          <w:sz w:val="20"/>
          <w:szCs w:val="20"/>
        </w:rPr>
      </w:pPr>
    </w:p>
    <w:p w14:paraId="7DB1D602" w14:textId="77777777" w:rsidR="004A52E3" w:rsidRPr="006946CD" w:rsidRDefault="004A52E3">
      <w:pPr>
        <w:rPr>
          <w:rFonts w:ascii="Arial" w:hAnsi="Arial" w:cs="Arial"/>
          <w:sz w:val="20"/>
          <w:szCs w:val="20"/>
        </w:rPr>
      </w:pPr>
    </w:p>
    <w:p w14:paraId="2A6C0A7B" w14:textId="77777777" w:rsidR="004A52E3" w:rsidRPr="006946CD" w:rsidRDefault="004A52E3">
      <w:pPr>
        <w:ind w:hanging="142"/>
        <w:jc w:val="both"/>
        <w:rPr>
          <w:rFonts w:ascii="Arial" w:hAnsi="Arial" w:cs="Arial"/>
          <w:b/>
          <w:sz w:val="20"/>
          <w:szCs w:val="20"/>
        </w:rPr>
      </w:pPr>
    </w:p>
    <w:p w14:paraId="0DDADEFD" w14:textId="1B294E9F" w:rsidR="004A52E3" w:rsidRPr="006946CD" w:rsidRDefault="00C11CCC">
      <w:pPr>
        <w:pStyle w:val="Nessunaspaziatura"/>
        <w:rPr>
          <w:rFonts w:ascii="Lato-Medium" w:hAnsi="Lato-Medium" w:cs="Arial"/>
          <w:b/>
          <w:sz w:val="20"/>
          <w:szCs w:val="20"/>
        </w:rPr>
      </w:pPr>
      <w:r w:rsidRPr="006946CD">
        <w:rPr>
          <w:rFonts w:ascii="Lato-Medium" w:hAnsi="Lato-Medium" w:cs="Arial"/>
          <w:b/>
          <w:sz w:val="20"/>
          <w:szCs w:val="20"/>
        </w:rPr>
        <w:t xml:space="preserve">Direzione </w:t>
      </w:r>
      <w:r w:rsidR="00FE2BBD">
        <w:rPr>
          <w:rFonts w:ascii="Lato-Medium" w:hAnsi="Lato-Medium" w:cs="Arial"/>
          <w:b/>
          <w:sz w:val="20"/>
          <w:szCs w:val="20"/>
        </w:rPr>
        <w:t>Recupero Evasione e Coattiva</w:t>
      </w:r>
    </w:p>
    <w:p w14:paraId="20A93C45" w14:textId="77777777" w:rsidR="004A52E3" w:rsidRPr="006946CD" w:rsidRDefault="004A52E3">
      <w:pPr>
        <w:pStyle w:val="Intestazione"/>
        <w:ind w:left="-567" w:right="-285"/>
        <w:rPr>
          <w:rFonts w:ascii="Lato-Medium" w:hAnsi="Lato-Medium" w:cs="Arial"/>
          <w:b/>
        </w:rPr>
      </w:pPr>
    </w:p>
    <w:p w14:paraId="1779EAED" w14:textId="77777777" w:rsidR="004A52E3" w:rsidRPr="006946CD" w:rsidRDefault="00C11CCC">
      <w:pPr>
        <w:rPr>
          <w:rFonts w:ascii="Lato-Medium" w:hAnsi="Lato-Medium" w:cs="Arial"/>
          <w:b/>
          <w:sz w:val="20"/>
          <w:szCs w:val="20"/>
        </w:rPr>
      </w:pPr>
      <w:r w:rsidRPr="006946CD">
        <w:rPr>
          <w:rFonts w:ascii="Lato-Medium" w:hAnsi="Lato-Medium" w:cs="Arial"/>
          <w:b/>
          <w:sz w:val="20"/>
          <w:szCs w:val="20"/>
        </w:rPr>
        <w:t>Proponente: Assessore Emmanuel Conte</w:t>
      </w:r>
    </w:p>
    <w:p w14:paraId="3B3640FE" w14:textId="77777777" w:rsidR="004A52E3" w:rsidRPr="006946CD" w:rsidRDefault="004A52E3">
      <w:pPr>
        <w:rPr>
          <w:rFonts w:ascii="Lato-Medium" w:hAnsi="Lato-Medium" w:cs="Arial"/>
          <w:b/>
          <w:sz w:val="20"/>
          <w:szCs w:val="20"/>
        </w:rPr>
      </w:pPr>
    </w:p>
    <w:p w14:paraId="2B682146" w14:textId="77777777" w:rsidR="004A52E3" w:rsidRPr="006946CD" w:rsidRDefault="004A52E3">
      <w:pPr>
        <w:ind w:hanging="142"/>
        <w:jc w:val="both"/>
        <w:rPr>
          <w:rFonts w:ascii="Lato-Medium" w:hAnsi="Lato-Medium" w:cs="Arial"/>
          <w:b/>
          <w:sz w:val="20"/>
          <w:szCs w:val="20"/>
        </w:rPr>
      </w:pPr>
    </w:p>
    <w:p w14:paraId="54D13B77" w14:textId="1FB723A2" w:rsidR="004A52E3" w:rsidRPr="006946CD" w:rsidRDefault="00C11CCC">
      <w:pPr>
        <w:ind w:hanging="142"/>
        <w:jc w:val="both"/>
        <w:rPr>
          <w:rFonts w:ascii="Lato-Medium" w:hAnsi="Lato-Medium" w:cs="Arial"/>
          <w:b/>
          <w:sz w:val="20"/>
          <w:szCs w:val="20"/>
        </w:rPr>
      </w:pPr>
      <w:r w:rsidRPr="006946CD">
        <w:rPr>
          <w:rFonts w:ascii="Lato-Medium" w:hAnsi="Lato-Medium" w:cs="Arial"/>
          <w:b/>
          <w:sz w:val="20"/>
          <w:szCs w:val="20"/>
        </w:rPr>
        <w:t xml:space="preserve">  OGGETTO: Riconoscimento dei debiti fuori bilancio ai sensi dell’art. 194, comma 1, lettera a) del Testo Unico Enti Locali (T.U.E.L.), derivanti dal pagamento delle spese legali per i provvedimenti giudiziali esecutivi sfavorevoli al Comune di Milano in cause di competenza della Direzione </w:t>
      </w:r>
      <w:r w:rsidR="00E02D1A">
        <w:rPr>
          <w:rFonts w:ascii="Lato-Medium" w:hAnsi="Lato-Medium" w:cs="Arial"/>
          <w:b/>
          <w:sz w:val="20"/>
          <w:szCs w:val="20"/>
        </w:rPr>
        <w:t>Recupero Evasione e Coattiva</w:t>
      </w:r>
      <w:r w:rsidRPr="006946CD">
        <w:rPr>
          <w:rFonts w:ascii="Lato-Medium" w:hAnsi="Lato-Medium" w:cs="Arial"/>
          <w:b/>
          <w:sz w:val="20"/>
          <w:szCs w:val="20"/>
        </w:rPr>
        <w:t xml:space="preserve"> per complessivi € </w:t>
      </w:r>
      <w:r w:rsidR="009967CC" w:rsidRPr="009967CC">
        <w:rPr>
          <w:rFonts w:ascii="Lato-Medium" w:hAnsi="Lato-Medium" w:cs="Arial"/>
          <w:b/>
          <w:sz w:val="20"/>
          <w:szCs w:val="20"/>
        </w:rPr>
        <w:t>8.291,22</w:t>
      </w:r>
      <w:bookmarkStart w:id="0" w:name="_GoBack"/>
      <w:bookmarkEnd w:id="0"/>
      <w:r w:rsidRPr="006946CD">
        <w:rPr>
          <w:rFonts w:ascii="Lato-Medium" w:hAnsi="Lato-Medium" w:cs="Arial"/>
          <w:b/>
          <w:sz w:val="20"/>
          <w:szCs w:val="20"/>
        </w:rPr>
        <w:t>.</w:t>
      </w:r>
    </w:p>
    <w:p w14:paraId="79E3378B" w14:textId="1FB2D325" w:rsidR="004A52E3" w:rsidRPr="006946CD" w:rsidRDefault="004A52E3">
      <w:pPr>
        <w:ind w:hanging="142"/>
        <w:jc w:val="both"/>
        <w:rPr>
          <w:rFonts w:ascii="Lato-Medium" w:hAnsi="Lato-Medium" w:cs="Arial"/>
          <w:b/>
          <w:sz w:val="20"/>
          <w:szCs w:val="20"/>
        </w:rPr>
      </w:pPr>
    </w:p>
    <w:p w14:paraId="1CD6BE3E" w14:textId="77777777" w:rsidR="004A52E3" w:rsidRPr="006946CD" w:rsidRDefault="00C11CCC">
      <w:pPr>
        <w:ind w:hanging="142"/>
        <w:jc w:val="both"/>
        <w:rPr>
          <w:rFonts w:ascii="Lato-Medium" w:hAnsi="Lato-Medium" w:cs="Arial"/>
          <w:b/>
          <w:bCs/>
          <w:sz w:val="20"/>
          <w:szCs w:val="20"/>
        </w:rPr>
      </w:pPr>
      <w:r w:rsidRPr="006946CD">
        <w:rPr>
          <w:rFonts w:ascii="Lato-Medium" w:hAnsi="Lato-Medium" w:cs="Arial"/>
          <w:b/>
          <w:sz w:val="20"/>
          <w:szCs w:val="20"/>
        </w:rPr>
        <w:t xml:space="preserve">  Il provvedimento comporta spesa.</w:t>
      </w:r>
    </w:p>
    <w:p w14:paraId="754D15FB" w14:textId="78F0086D" w:rsidR="004A52E3" w:rsidRPr="006946CD" w:rsidRDefault="00C11CCC">
      <w:pPr>
        <w:spacing w:line="480" w:lineRule="atLeast"/>
        <w:jc w:val="both"/>
        <w:rPr>
          <w:rFonts w:ascii="Lato-Medium" w:hAnsi="Lato-Medium" w:cs="Arial"/>
          <w:b/>
          <w:i/>
          <w:sz w:val="20"/>
          <w:szCs w:val="20"/>
        </w:rPr>
      </w:pPr>
      <w:r w:rsidRPr="006946CD">
        <w:rPr>
          <w:rFonts w:ascii="Lato-Medium" w:hAnsi="Lato-Medium" w:cs="Arial"/>
          <w:b/>
          <w:i/>
          <w:sz w:val="20"/>
          <w:szCs w:val="20"/>
        </w:rPr>
        <w:t xml:space="preserve">Area </w:t>
      </w:r>
      <w:r w:rsidR="00E02D1A">
        <w:rPr>
          <w:rFonts w:ascii="Lato-Medium" w:hAnsi="Lato-Medium" w:cs="Arial"/>
          <w:b/>
          <w:i/>
          <w:sz w:val="20"/>
          <w:szCs w:val="20"/>
        </w:rPr>
        <w:t>Procedure Coattive</w:t>
      </w:r>
    </w:p>
    <w:p w14:paraId="67C81A90" w14:textId="77777777" w:rsidR="00FE2BBD" w:rsidRDefault="00FE2BBD">
      <w:pPr>
        <w:shd w:val="clear" w:color="auto" w:fill="FFFFFF"/>
        <w:jc w:val="both"/>
        <w:rPr>
          <w:rFonts w:ascii="Lato-Medium" w:hAnsi="Lato-Medium" w:cs="Arial"/>
          <w:b/>
          <w:i/>
          <w:sz w:val="20"/>
          <w:szCs w:val="20"/>
        </w:rPr>
      </w:pPr>
    </w:p>
    <w:p w14:paraId="2943F6C9" w14:textId="1AB9DFB6" w:rsidR="004A52E3" w:rsidRPr="006946CD" w:rsidRDefault="00C11CCC">
      <w:pPr>
        <w:shd w:val="clear" w:color="auto" w:fill="FFFFFF"/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b/>
          <w:i/>
          <w:sz w:val="20"/>
          <w:szCs w:val="20"/>
        </w:rPr>
        <w:t>Relazione</w:t>
      </w:r>
      <w:r w:rsidRPr="006946CD">
        <w:rPr>
          <w:rFonts w:ascii="Lato-Medium" w:hAnsi="Lato-Medium" w:cs="Arial"/>
          <w:b/>
          <w:i/>
          <w:sz w:val="20"/>
          <w:szCs w:val="20"/>
        </w:rPr>
        <w:br/>
      </w:r>
    </w:p>
    <w:p w14:paraId="2F5F4002" w14:textId="77777777" w:rsidR="004A52E3" w:rsidRPr="006946CD" w:rsidRDefault="00C11CCC">
      <w:pPr>
        <w:shd w:val="clear" w:color="auto" w:fill="FFFFFF"/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 xml:space="preserve">Il procedimento giurisdizionale avverso gli atti della riscossione coattiva si sostanzia in un’impugnazione di un atto di riscossione coattiva, che solitamente è rappresentato da un’ingiunzione fiscale ai sensi dell’art. 2 del R.D. 14 aprile 1910, n. 639, secondo le regole delineate dal D. </w:t>
      </w:r>
      <w:proofErr w:type="spellStart"/>
      <w:r w:rsidRPr="006946CD">
        <w:rPr>
          <w:rFonts w:ascii="Lato-Medium" w:hAnsi="Lato-Medium" w:cs="Arial"/>
          <w:sz w:val="20"/>
          <w:szCs w:val="20"/>
        </w:rPr>
        <w:t>Lgs</w:t>
      </w:r>
      <w:proofErr w:type="spellEnd"/>
      <w:r w:rsidRPr="006946CD">
        <w:rPr>
          <w:rFonts w:ascii="Lato-Medium" w:hAnsi="Lato-Medium" w:cs="Arial"/>
          <w:sz w:val="20"/>
          <w:szCs w:val="20"/>
        </w:rPr>
        <w:t>. n. 150/2011.</w:t>
      </w:r>
    </w:p>
    <w:p w14:paraId="231002F5" w14:textId="4104D1C7" w:rsidR="004A52E3" w:rsidRPr="006946CD" w:rsidRDefault="00AD3DC4">
      <w:pPr>
        <w:shd w:val="clear" w:color="auto" w:fill="FFFFFF"/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>E’</w:t>
      </w:r>
      <w:r w:rsidR="00C11CCC" w:rsidRPr="006946CD">
        <w:rPr>
          <w:rFonts w:ascii="Lato-Medium" w:hAnsi="Lato-Medium" w:cs="Arial"/>
          <w:sz w:val="20"/>
          <w:szCs w:val="20"/>
        </w:rPr>
        <w:t xml:space="preserve"> di vitale importanza che l’Amministrazione si costituisca nel giudizio, poiché la contumacia della medesima, nel giudizio instaurato dall’opponente, comporterebbe, molto verosimilmente, l’accoglimento della domanda dell’opponente e la condanna dell’Amministrazione-opposta per non aver dimostrato il proprio credito.</w:t>
      </w:r>
    </w:p>
    <w:p w14:paraId="2CFC24C4" w14:textId="77777777" w:rsidR="004A52E3" w:rsidRPr="006946CD" w:rsidRDefault="00C11CCC">
      <w:pPr>
        <w:shd w:val="clear" w:color="auto" w:fill="FFFFFF"/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>Tanto premesso in termini generali, occorre verificare come in concreto sia stato organizzato dall’Amministrazione Comunale il servizio di gestione del contenzioso avverso gli atti di riscossione coattiva.</w:t>
      </w:r>
    </w:p>
    <w:p w14:paraId="601B3836" w14:textId="77777777" w:rsidR="004A52E3" w:rsidRPr="006946CD" w:rsidRDefault="00C11CCC">
      <w:pPr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 xml:space="preserve">In data 15.01.2016 l’allora Direzione Centrale Avvocatura Comunale, nonché la Direzione Centrale Entrate e Lotta all’Evasione siglavano una relazione operativa rivolta al Sindaco </w:t>
      </w:r>
      <w:r w:rsidRPr="006946CD">
        <w:rPr>
          <w:rFonts w:ascii="Lato-Medium" w:hAnsi="Lato-Medium" w:cs="Arial"/>
          <w:i/>
          <w:sz w:val="20"/>
          <w:szCs w:val="20"/>
        </w:rPr>
        <w:t>pro-tempore</w:t>
      </w:r>
      <w:r w:rsidRPr="006946CD">
        <w:rPr>
          <w:rFonts w:ascii="Lato-Medium" w:hAnsi="Lato-Medium" w:cs="Arial"/>
          <w:sz w:val="20"/>
          <w:szCs w:val="20"/>
        </w:rPr>
        <w:t xml:space="preserve"> con la quale ci si impegnava ad affidare ad un legale esterno il contenzioso relativo agli atti di riscossione inferiore al valore di € 10.000,00, e correlativamente, di affidare alla Direzione Centrale Avvocatura Comunale quelli di valore pari o superiore a € 10.000,00, nonché quelli inferiori ai 10.000,00 €, che assumano particolare rilevanza.</w:t>
      </w:r>
    </w:p>
    <w:p w14:paraId="7A183C71" w14:textId="79AD73B7" w:rsidR="004A52E3" w:rsidRPr="006946CD" w:rsidRDefault="00C11CCC">
      <w:pPr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 xml:space="preserve">Sulla scorta di tali indicazioni operative </w:t>
      </w:r>
      <w:r w:rsidR="00B204A4" w:rsidRPr="006946CD">
        <w:rPr>
          <w:rFonts w:ascii="Lato-Medium" w:hAnsi="Lato-Medium" w:cs="Arial"/>
          <w:sz w:val="20"/>
          <w:szCs w:val="20"/>
        </w:rPr>
        <w:t xml:space="preserve">la </w:t>
      </w:r>
      <w:r w:rsidRPr="006946CD">
        <w:rPr>
          <w:rFonts w:ascii="Lato-Medium" w:hAnsi="Lato-Medium" w:cs="Arial"/>
          <w:sz w:val="20"/>
          <w:szCs w:val="20"/>
        </w:rPr>
        <w:t>Direzione Specialistica Incassi e Riscossione</w:t>
      </w:r>
      <w:r w:rsidR="00B204A4" w:rsidRPr="006946CD">
        <w:rPr>
          <w:rFonts w:ascii="Lato-Medium" w:hAnsi="Lato-Medium" w:cs="Arial"/>
          <w:sz w:val="20"/>
          <w:szCs w:val="20"/>
        </w:rPr>
        <w:t>,</w:t>
      </w:r>
      <w:r w:rsidR="00AD3DC4" w:rsidRPr="006946CD">
        <w:rPr>
          <w:rFonts w:ascii="Lato-Medium" w:hAnsi="Lato-Medium" w:cs="Arial"/>
          <w:sz w:val="20"/>
          <w:szCs w:val="20"/>
        </w:rPr>
        <w:t xml:space="preserve"> Area Riscossione Coattiva e Sanzioni Codice della Strada</w:t>
      </w:r>
      <w:r w:rsidRPr="006946CD">
        <w:rPr>
          <w:rFonts w:ascii="Lato-Medium" w:hAnsi="Lato-Medium" w:cs="Arial"/>
          <w:sz w:val="20"/>
          <w:szCs w:val="20"/>
        </w:rPr>
        <w:t xml:space="preserve">, in virtù del contratto stipulato con la società </w:t>
      </w:r>
      <w:proofErr w:type="spellStart"/>
      <w:r w:rsidRPr="006946CD">
        <w:rPr>
          <w:rFonts w:ascii="Lato-Medium" w:hAnsi="Lato-Medium" w:cs="Arial"/>
          <w:sz w:val="20"/>
          <w:szCs w:val="20"/>
        </w:rPr>
        <w:t>Municipia</w:t>
      </w:r>
      <w:proofErr w:type="spellEnd"/>
      <w:r w:rsidRPr="006946CD">
        <w:rPr>
          <w:rFonts w:ascii="Lato-Medium" w:hAnsi="Lato-Medium" w:cs="Arial"/>
          <w:sz w:val="20"/>
          <w:szCs w:val="20"/>
        </w:rPr>
        <w:t xml:space="preserve"> S.p.A., quale mandataria dell’A.T.I. aggiudicataria del contratto di affidamento dei servizi di supporto alla riscossione volontaria e coattiva delle entrate tributarie ed </w:t>
      </w:r>
      <w:proofErr w:type="spellStart"/>
      <w:r w:rsidRPr="006946CD">
        <w:rPr>
          <w:rFonts w:ascii="Lato-Medium" w:hAnsi="Lato-Medium" w:cs="Arial"/>
          <w:sz w:val="20"/>
          <w:szCs w:val="20"/>
        </w:rPr>
        <w:t>extratributarie</w:t>
      </w:r>
      <w:proofErr w:type="spellEnd"/>
      <w:r w:rsidR="00B204A4" w:rsidRPr="006946CD">
        <w:rPr>
          <w:rFonts w:ascii="Lato-Medium" w:hAnsi="Lato-Medium" w:cs="Arial"/>
          <w:sz w:val="20"/>
          <w:szCs w:val="20"/>
        </w:rPr>
        <w:t>,</w:t>
      </w:r>
      <w:r w:rsidRPr="006946CD">
        <w:rPr>
          <w:rFonts w:ascii="Lato-Medium" w:hAnsi="Lato-Medium" w:cs="Arial"/>
          <w:sz w:val="20"/>
          <w:szCs w:val="20"/>
        </w:rPr>
        <w:t xml:space="preserve"> accordo quadro n. 48/21 – CIG 8990583FC8</w:t>
      </w:r>
      <w:r w:rsidR="007C36BB" w:rsidRPr="006946CD">
        <w:rPr>
          <w:rFonts w:ascii="Lato-Medium" w:hAnsi="Lato-Medium" w:cs="Arial"/>
          <w:sz w:val="20"/>
          <w:szCs w:val="20"/>
        </w:rPr>
        <w:t>,</w:t>
      </w:r>
      <w:r w:rsidRPr="006946CD">
        <w:rPr>
          <w:rFonts w:ascii="Lato-Medium" w:hAnsi="Lato-Medium" w:cs="Arial"/>
          <w:sz w:val="20"/>
          <w:szCs w:val="20"/>
        </w:rPr>
        <w:t xml:space="preserve"> </w:t>
      </w:r>
      <w:r w:rsidR="00B204A4" w:rsidRPr="006946CD">
        <w:rPr>
          <w:rFonts w:ascii="Lato-Medium" w:hAnsi="Lato-Medium" w:cs="Arial"/>
          <w:sz w:val="20"/>
          <w:szCs w:val="20"/>
        </w:rPr>
        <w:t>ha assegnato il contenzioso</w:t>
      </w:r>
      <w:r w:rsidR="007C36BB" w:rsidRPr="006946CD">
        <w:rPr>
          <w:rFonts w:ascii="Lato-Medium" w:hAnsi="Lato-Medium" w:cs="Arial"/>
          <w:sz w:val="20"/>
          <w:szCs w:val="20"/>
        </w:rPr>
        <w:t>, nei termini sopra indicati,</w:t>
      </w:r>
      <w:r w:rsidR="00B204A4" w:rsidRPr="006946CD">
        <w:rPr>
          <w:rFonts w:ascii="Lato-Medium" w:hAnsi="Lato-Medium" w:cs="Arial"/>
          <w:sz w:val="20"/>
          <w:szCs w:val="20"/>
        </w:rPr>
        <w:t xml:space="preserve"> </w:t>
      </w:r>
      <w:r w:rsidR="007C36BB" w:rsidRPr="006946CD">
        <w:rPr>
          <w:rFonts w:ascii="Lato-Medium" w:hAnsi="Lato-Medium" w:cs="Arial"/>
          <w:sz w:val="20"/>
          <w:szCs w:val="20"/>
        </w:rPr>
        <w:t>allo</w:t>
      </w:r>
      <w:r w:rsidR="00B204A4" w:rsidRPr="006946CD">
        <w:rPr>
          <w:rFonts w:ascii="Lato-Medium" w:hAnsi="Lato-Medium" w:cs="Arial"/>
          <w:sz w:val="20"/>
          <w:szCs w:val="20"/>
        </w:rPr>
        <w:t xml:space="preserve"> studio legale designato dalla </w:t>
      </w:r>
      <w:r w:rsidR="007C36BB" w:rsidRPr="006946CD">
        <w:rPr>
          <w:rFonts w:ascii="Lato-Medium" w:hAnsi="Lato-Medium" w:cs="Arial"/>
          <w:sz w:val="20"/>
          <w:szCs w:val="20"/>
        </w:rPr>
        <w:t>dall’aggiudicatario.</w:t>
      </w:r>
    </w:p>
    <w:p w14:paraId="0ED3C11A" w14:textId="482D2D47" w:rsidR="004A52E3" w:rsidRPr="006946CD" w:rsidRDefault="00C11CCC">
      <w:pPr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 xml:space="preserve">La rappresentanza in giudizio avviene nel rispetto dell’art. 43, terzo comma, </w:t>
      </w:r>
      <w:proofErr w:type="spellStart"/>
      <w:r w:rsidRPr="006946CD">
        <w:rPr>
          <w:rFonts w:ascii="Lato-Medium" w:hAnsi="Lato-Medium" w:cs="Arial"/>
          <w:sz w:val="20"/>
          <w:szCs w:val="20"/>
        </w:rPr>
        <w:t>lett</w:t>
      </w:r>
      <w:proofErr w:type="spellEnd"/>
      <w:r w:rsidRPr="006946CD">
        <w:rPr>
          <w:rFonts w:ascii="Lato-Medium" w:hAnsi="Lato-Medium" w:cs="Arial"/>
          <w:sz w:val="20"/>
          <w:szCs w:val="20"/>
        </w:rPr>
        <w:t>. d) dello Statuto Comunale, esclusivamente nelle vertenze giudiziali, ivi comprese le procedure amministrative, concorsuali e fallimentari, specificatamente individuate dal Comune di Milano aventi per oggetto gli atti della riscossione del Comune di Milano.</w:t>
      </w:r>
    </w:p>
    <w:p w14:paraId="082EC913" w14:textId="77777777" w:rsidR="007C36BB" w:rsidRPr="006946CD" w:rsidRDefault="007C36BB">
      <w:pPr>
        <w:jc w:val="both"/>
        <w:rPr>
          <w:rFonts w:ascii="Lato-Medium" w:hAnsi="Lato-Medium" w:cs="Arial"/>
          <w:sz w:val="20"/>
          <w:szCs w:val="20"/>
        </w:rPr>
      </w:pPr>
    </w:p>
    <w:p w14:paraId="6CA3B445" w14:textId="77777777" w:rsidR="004A52E3" w:rsidRPr="006946CD" w:rsidRDefault="00C11CCC">
      <w:pPr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>Ciò premesso, la gestione del contenzioso è suddivisa nel seguente iter-amministrativo:</w:t>
      </w:r>
    </w:p>
    <w:p w14:paraId="5F47B340" w14:textId="0E3D1E8E" w:rsidR="004A52E3" w:rsidRPr="006946CD" w:rsidRDefault="00C11CCC">
      <w:pPr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>- raccolta delle citazioni e dei ricorsi;</w:t>
      </w:r>
    </w:p>
    <w:p w14:paraId="5CB48593" w14:textId="59C9F6CA" w:rsidR="004A52E3" w:rsidRPr="006946CD" w:rsidRDefault="00C11CCC">
      <w:pPr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lastRenderedPageBreak/>
        <w:t>- assegnazione del contenzioso, secondo il criterio delineato nella relazione del 15.01.2016;</w:t>
      </w:r>
    </w:p>
    <w:p w14:paraId="147544C0" w14:textId="1238AF9B" w:rsidR="004A52E3" w:rsidRPr="006946CD" w:rsidRDefault="00C11CCC">
      <w:pPr>
        <w:jc w:val="both"/>
        <w:rPr>
          <w:rFonts w:ascii="Lato-Medium" w:hAnsi="Lato-Medium" w:cs="Arial"/>
          <w:strike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>- raccolta delle sentenze r</w:t>
      </w:r>
      <w:r w:rsidR="005F3D23" w:rsidRPr="006946CD">
        <w:rPr>
          <w:rFonts w:ascii="Lato-Medium" w:hAnsi="Lato-Medium" w:cs="Arial"/>
          <w:sz w:val="20"/>
          <w:szCs w:val="20"/>
        </w:rPr>
        <w:t>elative al contenzioso suddetto;</w:t>
      </w:r>
    </w:p>
    <w:p w14:paraId="71DB4640" w14:textId="23B5776C" w:rsidR="004A52E3" w:rsidRPr="006946CD" w:rsidRDefault="00C11CCC">
      <w:pPr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>- valutazione circa la possibilità di impugnazione delle sentenze;</w:t>
      </w:r>
    </w:p>
    <w:p w14:paraId="0422F08D" w14:textId="676A28AB" w:rsidR="004A52E3" w:rsidRPr="006946CD" w:rsidRDefault="00C11CCC">
      <w:pPr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>- rifusione delle spese legali, per le quali non vi sia possibilità d</w:t>
      </w:r>
      <w:r w:rsidR="005F3D23" w:rsidRPr="006946CD">
        <w:rPr>
          <w:rFonts w:ascii="Lato-Medium" w:hAnsi="Lato-Medium" w:cs="Arial"/>
          <w:sz w:val="20"/>
          <w:szCs w:val="20"/>
        </w:rPr>
        <w:t>i gravame</w:t>
      </w:r>
      <w:r w:rsidRPr="006946CD">
        <w:rPr>
          <w:rFonts w:ascii="Lato-Medium" w:hAnsi="Lato-Medium" w:cs="Arial"/>
          <w:sz w:val="20"/>
          <w:szCs w:val="20"/>
        </w:rPr>
        <w:t xml:space="preserve"> </w:t>
      </w:r>
      <w:r w:rsidR="00BC3B7C" w:rsidRPr="006946CD">
        <w:rPr>
          <w:rFonts w:ascii="Lato-Medium" w:hAnsi="Lato-Medium" w:cs="Arial"/>
          <w:sz w:val="20"/>
          <w:szCs w:val="20"/>
        </w:rPr>
        <w:t xml:space="preserve">con </w:t>
      </w:r>
      <w:r w:rsidRPr="006946CD">
        <w:rPr>
          <w:rFonts w:ascii="Lato-Medium" w:hAnsi="Lato-Medium" w:cs="Arial"/>
          <w:sz w:val="20"/>
          <w:szCs w:val="20"/>
        </w:rPr>
        <w:t>liquidazione delle medesime entro il termine di 120 giorni dalla notificazione del titolo esecutivo, nel rispetto di quanto previsto dalla normativa vigente (art. 14, comma 1, D.L. n. 669/96, convertito in L. n. 30/97).</w:t>
      </w:r>
    </w:p>
    <w:p w14:paraId="4B7308E5" w14:textId="77777777" w:rsidR="004A52E3" w:rsidRPr="006946CD" w:rsidRDefault="004A52E3">
      <w:pPr>
        <w:jc w:val="both"/>
        <w:rPr>
          <w:rFonts w:ascii="Lato-Medium" w:hAnsi="Lato-Medium" w:cs="Arial"/>
          <w:sz w:val="20"/>
          <w:szCs w:val="20"/>
        </w:rPr>
      </w:pPr>
    </w:p>
    <w:p w14:paraId="17291176" w14:textId="6EA71FC7" w:rsidR="004A52E3" w:rsidRPr="006946CD" w:rsidRDefault="00C11CCC">
      <w:pPr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>Con riferime</w:t>
      </w:r>
      <w:r w:rsidR="00BC3B7C" w:rsidRPr="006946CD">
        <w:rPr>
          <w:rFonts w:ascii="Lato-Medium" w:hAnsi="Lato-Medium" w:cs="Arial"/>
          <w:sz w:val="20"/>
          <w:szCs w:val="20"/>
        </w:rPr>
        <w:t>nto al contenuto delle sentenze</w:t>
      </w:r>
      <w:r w:rsidRPr="006946CD">
        <w:rPr>
          <w:rFonts w:ascii="Lato-Medium" w:hAnsi="Lato-Medium" w:cs="Arial"/>
          <w:sz w:val="20"/>
          <w:szCs w:val="20"/>
        </w:rPr>
        <w:t xml:space="preserve"> è possibile, a titolo meramente esemplificativo, suddividere le ragioni della soccombenza dell’Amministrazione comunale nelle seguenti sotto-categorie:</w:t>
      </w:r>
    </w:p>
    <w:p w14:paraId="1D8F8E4C" w14:textId="77777777" w:rsidR="004A52E3" w:rsidRPr="006946CD" w:rsidRDefault="004A52E3">
      <w:pPr>
        <w:jc w:val="both"/>
        <w:rPr>
          <w:rFonts w:ascii="Lato-Medium" w:hAnsi="Lato-Medium" w:cs="Arial"/>
          <w:sz w:val="20"/>
          <w:szCs w:val="20"/>
        </w:rPr>
      </w:pPr>
    </w:p>
    <w:p w14:paraId="2752B674" w14:textId="77777777" w:rsidR="00626345" w:rsidRPr="006946CD" w:rsidRDefault="00626345" w:rsidP="00626345">
      <w:pPr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 xml:space="preserve">A) </w:t>
      </w:r>
      <w:r w:rsidRPr="006946CD">
        <w:rPr>
          <w:rFonts w:ascii="Lato-Medium" w:hAnsi="Lato-Medium" w:cs="Arial"/>
          <w:sz w:val="20"/>
          <w:szCs w:val="20"/>
          <w:u w:val="single"/>
        </w:rPr>
        <w:t>illegittimità dell’ingiunzione fiscale o dell’atto di accertamento esecutivo.</w:t>
      </w:r>
    </w:p>
    <w:p w14:paraId="2B2E4680" w14:textId="1C7B1892" w:rsidR="00626345" w:rsidRPr="006946CD" w:rsidRDefault="00626345" w:rsidP="00626345">
      <w:pPr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 xml:space="preserve">L’illegittimità dell’ingiunzione riguarda vizi propri dell’atto di riscossione, come ad es. il mancato rispetto del termine di prescrizione previsto per la riscossione del credito sottostante (ad es., per i verbali del codice della strada la normativa vigente prevede un termine di riscossione pari a 5 anni, e dunque la riscossione di un verbale prescritto comporta l’illegittimità della ingiunzione), </w:t>
      </w:r>
      <w:r w:rsidR="00391F3B" w:rsidRPr="006946CD">
        <w:rPr>
          <w:rFonts w:ascii="Lato-Medium" w:hAnsi="Lato-Medium" w:cs="Arial"/>
          <w:sz w:val="20"/>
          <w:szCs w:val="20"/>
        </w:rPr>
        <w:t xml:space="preserve">o </w:t>
      </w:r>
      <w:r w:rsidRPr="006946CD">
        <w:rPr>
          <w:rFonts w:ascii="Lato-Medium" w:hAnsi="Lato-Medium" w:cs="Arial"/>
          <w:sz w:val="20"/>
          <w:szCs w:val="20"/>
        </w:rPr>
        <w:t>annullamento dell’ingiunzione fiscale prodromica ai successivi atti di riscossione coattiva ecc. ecc..</w:t>
      </w:r>
    </w:p>
    <w:p w14:paraId="2953657B" w14:textId="77777777" w:rsidR="00626345" w:rsidRPr="006946CD" w:rsidRDefault="00626345">
      <w:pPr>
        <w:jc w:val="both"/>
        <w:rPr>
          <w:rFonts w:ascii="Lato-Medium" w:hAnsi="Lato-Medium" w:cs="Arial"/>
          <w:sz w:val="20"/>
          <w:szCs w:val="20"/>
        </w:rPr>
      </w:pPr>
    </w:p>
    <w:p w14:paraId="7F68F65F" w14:textId="77777777" w:rsidR="004A52E3" w:rsidRPr="006946CD" w:rsidRDefault="00626345">
      <w:pPr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>B)</w:t>
      </w:r>
      <w:r w:rsidR="00C11CCC" w:rsidRPr="006946CD">
        <w:rPr>
          <w:rFonts w:ascii="Lato-Medium" w:hAnsi="Lato-Medium" w:cs="Arial"/>
          <w:sz w:val="20"/>
          <w:szCs w:val="20"/>
        </w:rPr>
        <w:t xml:space="preserve"> </w:t>
      </w:r>
      <w:r w:rsidR="00C11CCC" w:rsidRPr="006946CD">
        <w:rPr>
          <w:rFonts w:ascii="Lato-Medium" w:hAnsi="Lato-Medium" w:cs="Arial"/>
          <w:sz w:val="20"/>
          <w:szCs w:val="20"/>
          <w:u w:val="single"/>
        </w:rPr>
        <w:t>Difetto di notifica degli atti prodromici o vizi di altro tipo degli atti prodromici</w:t>
      </w:r>
      <w:r w:rsidR="00C11CCC" w:rsidRPr="006946CD">
        <w:rPr>
          <w:rFonts w:ascii="Lato-Medium" w:hAnsi="Lato-Medium" w:cs="Arial"/>
          <w:sz w:val="20"/>
          <w:szCs w:val="20"/>
        </w:rPr>
        <w:t>.</w:t>
      </w:r>
    </w:p>
    <w:p w14:paraId="78C0A0C8" w14:textId="5E16DD90" w:rsidR="004A52E3" w:rsidRPr="006946CD" w:rsidRDefault="00C11CCC">
      <w:pPr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 xml:space="preserve">Il difetto di notifica degli atti prodromici deriva dal mancato perfezionamento della notifica secondo la normativa vigente </w:t>
      </w:r>
      <w:r w:rsidR="00903EBD" w:rsidRPr="006946CD">
        <w:rPr>
          <w:rFonts w:ascii="Lato-Medium" w:hAnsi="Lato-Medium" w:cs="Arial"/>
          <w:sz w:val="20"/>
          <w:szCs w:val="20"/>
        </w:rPr>
        <w:t>o dalla mancata evidenza dell’avvenuta notifica</w:t>
      </w:r>
      <w:r w:rsidRPr="006946CD">
        <w:rPr>
          <w:rFonts w:ascii="Lato-Medium" w:hAnsi="Lato-Medium" w:cs="Arial"/>
          <w:sz w:val="20"/>
          <w:szCs w:val="20"/>
        </w:rPr>
        <w:t xml:space="preserve">, </w:t>
      </w:r>
      <w:r w:rsidR="005F3D23" w:rsidRPr="006946CD">
        <w:rPr>
          <w:rFonts w:ascii="Lato-Medium" w:hAnsi="Lato-Medium" w:cs="Arial"/>
          <w:sz w:val="20"/>
          <w:szCs w:val="20"/>
        </w:rPr>
        <w:t>o ancora</w:t>
      </w:r>
      <w:r w:rsidRPr="006946CD">
        <w:rPr>
          <w:rFonts w:ascii="Lato-Medium" w:hAnsi="Lato-Medium" w:cs="Arial"/>
          <w:sz w:val="20"/>
          <w:szCs w:val="20"/>
        </w:rPr>
        <w:t xml:space="preserve"> </w:t>
      </w:r>
      <w:r w:rsidR="005F3D23" w:rsidRPr="006946CD">
        <w:rPr>
          <w:rFonts w:ascii="Lato-Medium" w:hAnsi="Lato-Medium" w:cs="Arial"/>
          <w:sz w:val="20"/>
          <w:szCs w:val="20"/>
        </w:rPr>
        <w:t>dall’</w:t>
      </w:r>
      <w:r w:rsidRPr="006946CD">
        <w:rPr>
          <w:rFonts w:ascii="Lato-Medium" w:hAnsi="Lato-Medium" w:cs="Arial"/>
          <w:sz w:val="20"/>
          <w:szCs w:val="20"/>
        </w:rPr>
        <w:t xml:space="preserve">estinzione </w:t>
      </w:r>
      <w:r w:rsidR="00903EBD" w:rsidRPr="006946CD">
        <w:rPr>
          <w:rFonts w:ascii="Lato-Medium" w:hAnsi="Lato-Medium" w:cs="Arial"/>
          <w:sz w:val="20"/>
          <w:szCs w:val="20"/>
        </w:rPr>
        <w:t xml:space="preserve">dell’atto prodromico per pagamento del dovuto </w:t>
      </w:r>
      <w:r w:rsidRPr="006946CD">
        <w:rPr>
          <w:rFonts w:ascii="Lato-Medium" w:hAnsi="Lato-Medium" w:cs="Arial"/>
          <w:sz w:val="20"/>
          <w:szCs w:val="20"/>
        </w:rPr>
        <w:t xml:space="preserve">con </w:t>
      </w:r>
      <w:r w:rsidR="00903EBD" w:rsidRPr="006946CD">
        <w:rPr>
          <w:rFonts w:ascii="Lato-Medium" w:hAnsi="Lato-Medium" w:cs="Arial"/>
          <w:sz w:val="20"/>
          <w:szCs w:val="20"/>
        </w:rPr>
        <w:t xml:space="preserve">quindi </w:t>
      </w:r>
      <w:r w:rsidRPr="006946CD">
        <w:rPr>
          <w:rFonts w:ascii="Lato-Medium" w:hAnsi="Lato-Medium" w:cs="Arial"/>
          <w:sz w:val="20"/>
          <w:szCs w:val="20"/>
        </w:rPr>
        <w:t>successivo venir meno della pretesa mediante ingiunzione fiscale, piuttosto che ancora proposizione del ricorso amministrativo al Prefetto avverso gli atti prodromici all’ingiunzione fiscale.</w:t>
      </w:r>
    </w:p>
    <w:p w14:paraId="10E505AE" w14:textId="77777777" w:rsidR="004A52E3" w:rsidRPr="006946CD" w:rsidRDefault="004A52E3">
      <w:pPr>
        <w:jc w:val="both"/>
        <w:rPr>
          <w:rFonts w:ascii="Lato-Medium" w:hAnsi="Lato-Medium" w:cs="Arial"/>
          <w:sz w:val="20"/>
          <w:szCs w:val="20"/>
        </w:rPr>
      </w:pPr>
    </w:p>
    <w:p w14:paraId="2453100D" w14:textId="30BBD255" w:rsidR="006946CD" w:rsidRPr="006946CD" w:rsidRDefault="00C11CCC" w:rsidP="006946CD">
      <w:pPr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 xml:space="preserve">L’Area ha svolto un notevole lavoro per contenere </w:t>
      </w:r>
      <w:r w:rsidR="00903EBD" w:rsidRPr="006946CD">
        <w:rPr>
          <w:rFonts w:ascii="Lato-Medium" w:hAnsi="Lato-Medium" w:cs="Arial"/>
          <w:sz w:val="20"/>
          <w:szCs w:val="20"/>
        </w:rPr>
        <w:t xml:space="preserve">il contenzioso </w:t>
      </w:r>
    </w:p>
    <w:p w14:paraId="219B7800" w14:textId="0D48160E" w:rsidR="004A52E3" w:rsidRPr="006946CD" w:rsidRDefault="00C11CCC">
      <w:pPr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>sono stati apportati i seguenti correttivi:</w:t>
      </w:r>
    </w:p>
    <w:p w14:paraId="5A7C06EF" w14:textId="37033F69" w:rsidR="004A52E3" w:rsidRPr="006946CD" w:rsidRDefault="00C11CCC" w:rsidP="00621A31">
      <w:pPr>
        <w:pStyle w:val="Paragrafoelenco"/>
        <w:numPr>
          <w:ilvl w:val="0"/>
          <w:numId w:val="5"/>
        </w:numPr>
        <w:ind w:left="336"/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 xml:space="preserve">si è provveduto a rendere note le difficoltà in ordine ai processi di notificazione a Polizia locale, che ha </w:t>
      </w:r>
      <w:proofErr w:type="spellStart"/>
      <w:r w:rsidRPr="006946CD">
        <w:rPr>
          <w:rFonts w:ascii="Lato-Medium" w:hAnsi="Lato-Medium" w:cs="Arial"/>
          <w:sz w:val="20"/>
          <w:szCs w:val="20"/>
        </w:rPr>
        <w:t>attenzionato</w:t>
      </w:r>
      <w:proofErr w:type="spellEnd"/>
      <w:r w:rsidRPr="006946CD">
        <w:rPr>
          <w:rFonts w:ascii="Lato-Medium" w:hAnsi="Lato-Medium" w:cs="Arial"/>
          <w:sz w:val="20"/>
          <w:szCs w:val="20"/>
        </w:rPr>
        <w:t xml:space="preserve"> il fenomeno. le notifiche ad indirizzo errato attualmente risultano residuali, stanti i migl</w:t>
      </w:r>
      <w:r w:rsidR="00A461AA" w:rsidRPr="006946CD">
        <w:rPr>
          <w:rFonts w:ascii="Lato-Medium" w:hAnsi="Lato-Medium" w:cs="Arial"/>
          <w:sz w:val="20"/>
          <w:szCs w:val="20"/>
        </w:rPr>
        <w:t>ioramenti apportati ai processi.</w:t>
      </w:r>
      <w:r w:rsidRPr="006946CD">
        <w:rPr>
          <w:rFonts w:ascii="Lato-Medium" w:hAnsi="Lato-Medium" w:cs="Arial"/>
          <w:sz w:val="20"/>
          <w:szCs w:val="20"/>
        </w:rPr>
        <w:t xml:space="preserve"> </w:t>
      </w:r>
      <w:r w:rsidR="00A461AA" w:rsidRPr="006946CD">
        <w:rPr>
          <w:rFonts w:ascii="Lato-Medium" w:hAnsi="Lato-Medium" w:cs="Arial"/>
          <w:sz w:val="20"/>
          <w:szCs w:val="20"/>
        </w:rPr>
        <w:t>E</w:t>
      </w:r>
      <w:r w:rsidRPr="006946CD">
        <w:rPr>
          <w:rFonts w:ascii="Lato-Medium" w:hAnsi="Lato-Medium" w:cs="Arial"/>
          <w:sz w:val="20"/>
          <w:szCs w:val="20"/>
        </w:rPr>
        <w:t xml:space="preserve">siste comunque una finestra di mancato allineamento dei dati tra l’anagrafe e gli archivi della Motorizzazione civile o del P.R.A., sulla quale </w:t>
      </w:r>
      <w:r w:rsidR="00A461AA" w:rsidRPr="006946CD">
        <w:rPr>
          <w:rFonts w:ascii="Lato-Medium" w:hAnsi="Lato-Medium" w:cs="Arial"/>
          <w:sz w:val="20"/>
          <w:szCs w:val="20"/>
        </w:rPr>
        <w:t>non si può incidere</w:t>
      </w:r>
      <w:r w:rsidR="00356A7C" w:rsidRPr="006946CD">
        <w:rPr>
          <w:rFonts w:ascii="Lato-Medium" w:hAnsi="Lato-Medium" w:cs="Arial"/>
          <w:sz w:val="20"/>
          <w:szCs w:val="20"/>
        </w:rPr>
        <w:t>;</w:t>
      </w:r>
    </w:p>
    <w:p w14:paraId="3F200FDD" w14:textId="758DC5DB" w:rsidR="00621A31" w:rsidRPr="006946CD" w:rsidRDefault="00621A31" w:rsidP="00621A31">
      <w:pPr>
        <w:pStyle w:val="Paragrafoelenco"/>
        <w:numPr>
          <w:ilvl w:val="0"/>
          <w:numId w:val="5"/>
        </w:numPr>
        <w:ind w:left="336"/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 xml:space="preserve">predisposizione di sistemi di controllo da parte delle Direzioni </w:t>
      </w:r>
      <w:proofErr w:type="spellStart"/>
      <w:r w:rsidRPr="006946CD">
        <w:rPr>
          <w:rFonts w:ascii="Lato-Medium" w:hAnsi="Lato-Medium" w:cs="Arial"/>
          <w:sz w:val="20"/>
          <w:szCs w:val="20"/>
        </w:rPr>
        <w:t>owner</w:t>
      </w:r>
      <w:proofErr w:type="spellEnd"/>
      <w:r w:rsidRPr="006946CD">
        <w:rPr>
          <w:rFonts w:ascii="Lato-Medium" w:hAnsi="Lato-Medium" w:cs="Arial"/>
          <w:sz w:val="20"/>
          <w:szCs w:val="20"/>
        </w:rPr>
        <w:t xml:space="preserve"> per </w:t>
      </w:r>
      <w:r w:rsidR="00C06173" w:rsidRPr="006946CD">
        <w:rPr>
          <w:rFonts w:ascii="Lato-Medium" w:hAnsi="Lato-Medium" w:cs="Arial"/>
          <w:sz w:val="20"/>
          <w:szCs w:val="20"/>
        </w:rPr>
        <w:t xml:space="preserve">evitare il disallineamento degli applicativi informatici in particolare per i casi di </w:t>
      </w:r>
      <w:r w:rsidRPr="006946CD">
        <w:rPr>
          <w:rFonts w:ascii="Lato-Medium" w:hAnsi="Lato-Medium" w:cs="Arial"/>
          <w:sz w:val="20"/>
          <w:szCs w:val="20"/>
        </w:rPr>
        <w:t xml:space="preserve">mancato recepimento del pagamento </w:t>
      </w:r>
      <w:r w:rsidR="00C06173" w:rsidRPr="006946CD">
        <w:rPr>
          <w:rFonts w:ascii="Lato-Medium" w:hAnsi="Lato-Medium" w:cs="Arial"/>
          <w:sz w:val="20"/>
          <w:szCs w:val="20"/>
        </w:rPr>
        <w:t xml:space="preserve">del debito, disfunzione </w:t>
      </w:r>
      <w:r w:rsidR="00356A7C" w:rsidRPr="006946CD">
        <w:rPr>
          <w:rFonts w:ascii="Lato-Medium" w:hAnsi="Lato-Medium" w:cs="Arial"/>
          <w:sz w:val="20"/>
          <w:szCs w:val="20"/>
        </w:rPr>
        <w:t xml:space="preserve">che </w:t>
      </w:r>
      <w:r w:rsidR="00C06173" w:rsidRPr="006946CD">
        <w:rPr>
          <w:rFonts w:ascii="Lato-Medium" w:hAnsi="Lato-Medium" w:cs="Arial"/>
          <w:sz w:val="20"/>
          <w:szCs w:val="20"/>
        </w:rPr>
        <w:t>restituisce una</w:t>
      </w:r>
      <w:r w:rsidRPr="006946CD">
        <w:rPr>
          <w:rFonts w:ascii="Lato-Medium" w:hAnsi="Lato-Medium" w:cs="Arial"/>
          <w:sz w:val="20"/>
          <w:szCs w:val="20"/>
        </w:rPr>
        <w:t xml:space="preserve"> situazione debitoria del cittadino </w:t>
      </w:r>
      <w:r w:rsidR="00356A7C" w:rsidRPr="006946CD">
        <w:rPr>
          <w:rFonts w:ascii="Lato-Medium" w:hAnsi="Lato-Medium" w:cs="Arial"/>
          <w:sz w:val="20"/>
          <w:szCs w:val="20"/>
        </w:rPr>
        <w:t>non corretta;</w:t>
      </w:r>
    </w:p>
    <w:p w14:paraId="5AEC64A2" w14:textId="2F5D9D80" w:rsidR="00356A7C" w:rsidRPr="006946CD" w:rsidRDefault="00AE00BC" w:rsidP="00356A7C">
      <w:pPr>
        <w:pStyle w:val="Paragrafoelenco"/>
        <w:numPr>
          <w:ilvl w:val="0"/>
          <w:numId w:val="5"/>
        </w:numPr>
        <w:ind w:left="284"/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>analisi di specifici</w:t>
      </w:r>
      <w:r w:rsidR="00356A7C" w:rsidRPr="006946CD">
        <w:rPr>
          <w:rFonts w:ascii="Lato-Medium" w:hAnsi="Lato-Medium" w:cs="Arial"/>
          <w:sz w:val="20"/>
          <w:szCs w:val="20"/>
        </w:rPr>
        <w:t xml:space="preserve"> contenziosi che possono delineare un orientamento giurisprudenziale in termini interpretativi della norma e che quindi potrebbero determinare un cambio di processo. </w:t>
      </w:r>
    </w:p>
    <w:p w14:paraId="5704CDAD" w14:textId="78C6E53E" w:rsidR="00AE00BC" w:rsidRDefault="00BE6D54" w:rsidP="00BE6D54">
      <w:pPr>
        <w:pStyle w:val="Paragrafoelenco"/>
        <w:numPr>
          <w:ilvl w:val="0"/>
          <w:numId w:val="5"/>
        </w:numPr>
        <w:ind w:left="284"/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>Analisi delle sentenze che determinano contrasto di giudicati per i quali viene chiesto all’Avvocatura di procedere tempestivamente all’appello al fine di avere una linea interpretativa della norma omogenea e definita.</w:t>
      </w:r>
    </w:p>
    <w:p w14:paraId="58A47502" w14:textId="77777777" w:rsidR="006D7C91" w:rsidRDefault="006D7C91" w:rsidP="006D7C91">
      <w:pPr>
        <w:jc w:val="both"/>
        <w:rPr>
          <w:rFonts w:ascii="Lato-Medium" w:hAnsi="Lato-Medium" w:cs="Arial"/>
          <w:sz w:val="20"/>
          <w:szCs w:val="20"/>
        </w:rPr>
      </w:pPr>
    </w:p>
    <w:p w14:paraId="6F5161C9" w14:textId="432C16BC" w:rsidR="005A7A71" w:rsidRPr="002F4962" w:rsidRDefault="005A7A71" w:rsidP="005A7A71">
      <w:pPr>
        <w:jc w:val="both"/>
        <w:rPr>
          <w:rFonts w:ascii="Lato-Medium" w:hAnsi="Lato-Medium" w:cs="Arial"/>
          <w:sz w:val="20"/>
          <w:szCs w:val="20"/>
        </w:rPr>
      </w:pPr>
      <w:r w:rsidRPr="002F4962">
        <w:rPr>
          <w:rFonts w:ascii="Lato-Medium" w:hAnsi="Lato-Medium" w:cs="Arial"/>
          <w:sz w:val="20"/>
          <w:szCs w:val="20"/>
        </w:rPr>
        <w:t xml:space="preserve">Con riferimento alle casistiche delle soccombenze in giudizio (per un totale di </w:t>
      </w:r>
      <w:r w:rsidR="006F01A8" w:rsidRPr="002F4962">
        <w:rPr>
          <w:rFonts w:ascii="Lato-Medium" w:hAnsi="Lato-Medium" w:cs="Arial"/>
          <w:sz w:val="20"/>
          <w:szCs w:val="20"/>
        </w:rPr>
        <w:t>1</w:t>
      </w:r>
      <w:r w:rsidR="00DA6E98" w:rsidRPr="002F4962">
        <w:rPr>
          <w:rFonts w:ascii="Lato-Medium" w:hAnsi="Lato-Medium" w:cs="Arial"/>
          <w:sz w:val="20"/>
          <w:szCs w:val="20"/>
        </w:rPr>
        <w:t>5</w:t>
      </w:r>
      <w:r w:rsidRPr="002F4962">
        <w:rPr>
          <w:rFonts w:ascii="Lato-Medium" w:hAnsi="Lato-Medium" w:cs="Arial"/>
          <w:sz w:val="20"/>
          <w:szCs w:val="20"/>
        </w:rPr>
        <w:t xml:space="preserve"> provvedimenti giudiziali), rientrano nel gruppo A) </w:t>
      </w:r>
      <w:r w:rsidRPr="002F4962">
        <w:rPr>
          <w:rFonts w:ascii="Lato-Medium" w:hAnsi="Lato-Medium" w:cs="Arial"/>
          <w:sz w:val="20"/>
          <w:szCs w:val="20"/>
          <w:u w:val="single"/>
        </w:rPr>
        <w:t>illegittimità dell’ingiunzione fiscale o dell’atto di accertamento esecutivo</w:t>
      </w:r>
      <w:r w:rsidRPr="002F4962">
        <w:rPr>
          <w:rFonts w:ascii="Lato-Medium" w:hAnsi="Lato-Medium" w:cs="Arial"/>
          <w:sz w:val="20"/>
          <w:szCs w:val="20"/>
        </w:rPr>
        <w:t xml:space="preserve">, le </w:t>
      </w:r>
      <w:r w:rsidR="00E078FB" w:rsidRPr="002F4962">
        <w:rPr>
          <w:rFonts w:ascii="Lato-Medium" w:hAnsi="Lato-Medium" w:cs="Arial"/>
          <w:sz w:val="20"/>
          <w:szCs w:val="20"/>
        </w:rPr>
        <w:t>seguenti otto</w:t>
      </w:r>
      <w:r w:rsidRPr="002F4962">
        <w:rPr>
          <w:rFonts w:ascii="Lato-Medium" w:hAnsi="Lato-Medium" w:cs="Arial"/>
          <w:sz w:val="20"/>
          <w:szCs w:val="20"/>
        </w:rPr>
        <w:t xml:space="preserve"> sentenze:</w:t>
      </w:r>
    </w:p>
    <w:p w14:paraId="20213C14" w14:textId="77777777" w:rsidR="005A7A71" w:rsidRPr="002F4962" w:rsidRDefault="005A7A71" w:rsidP="005A7A71">
      <w:pPr>
        <w:jc w:val="both"/>
        <w:rPr>
          <w:rFonts w:ascii="Lato-Medium" w:hAnsi="Lato-Medium" w:cs="Arial"/>
          <w:sz w:val="20"/>
          <w:szCs w:val="20"/>
        </w:rPr>
      </w:pPr>
    </w:p>
    <w:p w14:paraId="5A29F7E3" w14:textId="77777777" w:rsidR="00E078FB" w:rsidRPr="002F4962" w:rsidRDefault="00E078FB" w:rsidP="00E078FB">
      <w:pPr>
        <w:jc w:val="both"/>
        <w:rPr>
          <w:rFonts w:ascii="Lato-Medium" w:hAnsi="Lato-Medium" w:cs="Arial"/>
          <w:sz w:val="20"/>
          <w:szCs w:val="20"/>
        </w:rPr>
      </w:pPr>
      <w:r w:rsidRPr="002F4962">
        <w:rPr>
          <w:rFonts w:ascii="Lato-Medium" w:hAnsi="Lato-Medium" w:cs="Arial"/>
          <w:sz w:val="20"/>
          <w:szCs w:val="20"/>
        </w:rPr>
        <w:t xml:space="preserve">n. 2 </w:t>
      </w:r>
      <w:proofErr w:type="spellStart"/>
      <w:r w:rsidRPr="002F4962">
        <w:rPr>
          <w:rFonts w:ascii="Lato-Medium" w:hAnsi="Lato-Medium" w:cs="Arial"/>
          <w:sz w:val="20"/>
          <w:szCs w:val="20"/>
        </w:rPr>
        <w:t>sent</w:t>
      </w:r>
      <w:proofErr w:type="spellEnd"/>
      <w:r w:rsidRPr="002F4962">
        <w:rPr>
          <w:rFonts w:ascii="Lato-Medium" w:hAnsi="Lato-Medium" w:cs="Arial"/>
          <w:sz w:val="20"/>
          <w:szCs w:val="20"/>
        </w:rPr>
        <w:t>. n. 2951/2024 Giudice di Pace Milano</w:t>
      </w:r>
    </w:p>
    <w:p w14:paraId="1717B45B" w14:textId="77777777" w:rsidR="00E078FB" w:rsidRPr="002F4962" w:rsidRDefault="00E078FB" w:rsidP="00E078FB">
      <w:pPr>
        <w:jc w:val="both"/>
        <w:rPr>
          <w:rFonts w:ascii="Lato-Medium" w:hAnsi="Lato-Medium" w:cs="Arial"/>
          <w:sz w:val="20"/>
          <w:szCs w:val="20"/>
        </w:rPr>
      </w:pPr>
      <w:r w:rsidRPr="002F4962">
        <w:rPr>
          <w:rFonts w:ascii="Lato-Medium" w:hAnsi="Lato-Medium" w:cs="Arial"/>
          <w:sz w:val="20"/>
          <w:szCs w:val="20"/>
        </w:rPr>
        <w:t xml:space="preserve">n. 3 </w:t>
      </w:r>
      <w:proofErr w:type="spellStart"/>
      <w:r w:rsidRPr="002F4962">
        <w:rPr>
          <w:rFonts w:ascii="Lato-Medium" w:hAnsi="Lato-Medium" w:cs="Arial"/>
          <w:sz w:val="20"/>
          <w:szCs w:val="20"/>
        </w:rPr>
        <w:t>sent</w:t>
      </w:r>
      <w:proofErr w:type="spellEnd"/>
      <w:r w:rsidRPr="002F4962">
        <w:rPr>
          <w:rFonts w:ascii="Lato-Medium" w:hAnsi="Lato-Medium" w:cs="Arial"/>
          <w:sz w:val="20"/>
          <w:szCs w:val="20"/>
        </w:rPr>
        <w:t>. n. 2962/2024 Giudice di Pace Milano</w:t>
      </w:r>
    </w:p>
    <w:p w14:paraId="036EC853" w14:textId="77777777" w:rsidR="00E078FB" w:rsidRPr="002F4962" w:rsidRDefault="00E078FB" w:rsidP="00E078FB">
      <w:pPr>
        <w:jc w:val="both"/>
        <w:rPr>
          <w:rFonts w:ascii="Lato-Medium" w:hAnsi="Lato-Medium" w:cs="Arial"/>
          <w:sz w:val="20"/>
          <w:szCs w:val="20"/>
        </w:rPr>
      </w:pPr>
      <w:r w:rsidRPr="002F4962">
        <w:rPr>
          <w:rFonts w:ascii="Lato-Medium" w:hAnsi="Lato-Medium" w:cs="Arial"/>
          <w:sz w:val="20"/>
          <w:szCs w:val="20"/>
        </w:rPr>
        <w:t xml:space="preserve">n. 4 </w:t>
      </w:r>
      <w:proofErr w:type="spellStart"/>
      <w:r w:rsidRPr="002F4962">
        <w:rPr>
          <w:rFonts w:ascii="Lato-Medium" w:hAnsi="Lato-Medium" w:cs="Arial"/>
          <w:sz w:val="20"/>
          <w:szCs w:val="20"/>
        </w:rPr>
        <w:t>sent</w:t>
      </w:r>
      <w:proofErr w:type="spellEnd"/>
      <w:r w:rsidRPr="002F4962">
        <w:rPr>
          <w:rFonts w:ascii="Lato-Medium" w:hAnsi="Lato-Medium" w:cs="Arial"/>
          <w:sz w:val="20"/>
          <w:szCs w:val="20"/>
        </w:rPr>
        <w:t>. n. 441/2024 Giudice di Pace Milano</w:t>
      </w:r>
    </w:p>
    <w:p w14:paraId="4C07D3A5" w14:textId="156E2901" w:rsidR="00E078FB" w:rsidRPr="002F4962" w:rsidRDefault="00E078FB" w:rsidP="00E078FB">
      <w:pPr>
        <w:jc w:val="both"/>
        <w:rPr>
          <w:rFonts w:ascii="Lato-Medium" w:hAnsi="Lato-Medium" w:cs="Arial"/>
          <w:sz w:val="20"/>
          <w:szCs w:val="20"/>
        </w:rPr>
      </w:pPr>
      <w:r w:rsidRPr="002F4962">
        <w:rPr>
          <w:rFonts w:ascii="Lato-Medium" w:hAnsi="Lato-Medium" w:cs="Arial"/>
          <w:sz w:val="20"/>
          <w:szCs w:val="20"/>
        </w:rPr>
        <w:t xml:space="preserve">n. 5 </w:t>
      </w:r>
      <w:proofErr w:type="spellStart"/>
      <w:r w:rsidRPr="002F4962">
        <w:rPr>
          <w:rFonts w:ascii="Lato-Medium" w:hAnsi="Lato-Medium" w:cs="Arial"/>
          <w:sz w:val="20"/>
          <w:szCs w:val="20"/>
        </w:rPr>
        <w:t>sent</w:t>
      </w:r>
      <w:proofErr w:type="spellEnd"/>
      <w:r w:rsidRPr="002F4962">
        <w:rPr>
          <w:rFonts w:ascii="Lato-Medium" w:hAnsi="Lato-Medium" w:cs="Arial"/>
          <w:sz w:val="20"/>
          <w:szCs w:val="20"/>
        </w:rPr>
        <w:t xml:space="preserve">. </w:t>
      </w:r>
      <w:r w:rsidR="00620D19" w:rsidRPr="002F4962">
        <w:rPr>
          <w:rFonts w:ascii="Lato-Medium" w:hAnsi="Lato-Medium" w:cs="Arial"/>
          <w:sz w:val="20"/>
          <w:szCs w:val="20"/>
        </w:rPr>
        <w:t xml:space="preserve">minuta sentenza </w:t>
      </w:r>
      <w:r w:rsidRPr="002F4962">
        <w:rPr>
          <w:rFonts w:ascii="Lato-Medium" w:hAnsi="Lato-Medium" w:cs="Arial"/>
          <w:sz w:val="20"/>
          <w:szCs w:val="20"/>
        </w:rPr>
        <w:t>n. RG 41663/2023 Giudice di Pace Milano</w:t>
      </w:r>
    </w:p>
    <w:p w14:paraId="634F4352" w14:textId="77777777" w:rsidR="00E078FB" w:rsidRPr="002F4962" w:rsidRDefault="00E078FB" w:rsidP="00E078FB">
      <w:pPr>
        <w:jc w:val="both"/>
        <w:rPr>
          <w:rFonts w:ascii="Lato-Medium" w:hAnsi="Lato-Medium" w:cs="Arial"/>
          <w:sz w:val="20"/>
          <w:szCs w:val="20"/>
        </w:rPr>
      </w:pPr>
      <w:r w:rsidRPr="002F4962">
        <w:rPr>
          <w:rFonts w:ascii="Lato-Medium" w:hAnsi="Lato-Medium" w:cs="Arial"/>
          <w:sz w:val="20"/>
          <w:szCs w:val="20"/>
        </w:rPr>
        <w:t xml:space="preserve">n. 8 </w:t>
      </w:r>
      <w:proofErr w:type="spellStart"/>
      <w:r w:rsidRPr="002F4962">
        <w:rPr>
          <w:rFonts w:ascii="Lato-Medium" w:hAnsi="Lato-Medium" w:cs="Arial"/>
          <w:sz w:val="20"/>
          <w:szCs w:val="20"/>
        </w:rPr>
        <w:t>sent</w:t>
      </w:r>
      <w:proofErr w:type="spellEnd"/>
      <w:r w:rsidRPr="002F4962">
        <w:rPr>
          <w:rFonts w:ascii="Lato-Medium" w:hAnsi="Lato-Medium" w:cs="Arial"/>
          <w:sz w:val="20"/>
          <w:szCs w:val="20"/>
        </w:rPr>
        <w:t>. n. 110/2024 Giudice di Pace di Rho</w:t>
      </w:r>
    </w:p>
    <w:p w14:paraId="72D68D95" w14:textId="77777777" w:rsidR="00E078FB" w:rsidRPr="002F4962" w:rsidRDefault="00E078FB" w:rsidP="00E078FB">
      <w:pPr>
        <w:jc w:val="both"/>
        <w:rPr>
          <w:rFonts w:ascii="Lato-Medium" w:hAnsi="Lato-Medium" w:cs="Arial"/>
          <w:sz w:val="20"/>
          <w:szCs w:val="20"/>
        </w:rPr>
      </w:pPr>
      <w:r w:rsidRPr="002F4962">
        <w:rPr>
          <w:rFonts w:ascii="Lato-Medium" w:hAnsi="Lato-Medium" w:cs="Arial"/>
          <w:sz w:val="20"/>
          <w:szCs w:val="20"/>
        </w:rPr>
        <w:t xml:space="preserve">n. 11 </w:t>
      </w:r>
      <w:proofErr w:type="spellStart"/>
      <w:r w:rsidRPr="002F4962">
        <w:rPr>
          <w:rFonts w:ascii="Lato-Medium" w:hAnsi="Lato-Medium" w:cs="Arial"/>
          <w:sz w:val="20"/>
          <w:szCs w:val="20"/>
        </w:rPr>
        <w:t>sent</w:t>
      </w:r>
      <w:proofErr w:type="spellEnd"/>
      <w:r w:rsidRPr="002F4962">
        <w:rPr>
          <w:rFonts w:ascii="Lato-Medium" w:hAnsi="Lato-Medium" w:cs="Arial"/>
          <w:sz w:val="20"/>
          <w:szCs w:val="20"/>
        </w:rPr>
        <w:t>. n. 10999/2019 Giudice di Pace Milano</w:t>
      </w:r>
    </w:p>
    <w:p w14:paraId="2C028371" w14:textId="77777777" w:rsidR="00E078FB" w:rsidRPr="002F4962" w:rsidRDefault="00E078FB" w:rsidP="00E078FB">
      <w:pPr>
        <w:jc w:val="both"/>
        <w:rPr>
          <w:rFonts w:ascii="Lato-Medium" w:hAnsi="Lato-Medium" w:cs="Arial"/>
          <w:sz w:val="20"/>
          <w:szCs w:val="20"/>
        </w:rPr>
      </w:pPr>
      <w:r w:rsidRPr="002F4962">
        <w:rPr>
          <w:rFonts w:ascii="Lato-Medium" w:hAnsi="Lato-Medium" w:cs="Arial"/>
          <w:sz w:val="20"/>
          <w:szCs w:val="20"/>
        </w:rPr>
        <w:lastRenderedPageBreak/>
        <w:t xml:space="preserve">n. 14 </w:t>
      </w:r>
      <w:proofErr w:type="spellStart"/>
      <w:r w:rsidRPr="002F4962">
        <w:rPr>
          <w:rFonts w:ascii="Lato-Medium" w:hAnsi="Lato-Medium" w:cs="Arial"/>
          <w:sz w:val="20"/>
          <w:szCs w:val="20"/>
        </w:rPr>
        <w:t>sent</w:t>
      </w:r>
      <w:proofErr w:type="spellEnd"/>
      <w:r w:rsidRPr="002F4962">
        <w:rPr>
          <w:rFonts w:ascii="Lato-Medium" w:hAnsi="Lato-Medium" w:cs="Arial"/>
          <w:sz w:val="20"/>
          <w:szCs w:val="20"/>
        </w:rPr>
        <w:t>. n. 2949/2024 Giudice di Pace Milano</w:t>
      </w:r>
    </w:p>
    <w:p w14:paraId="534DE9D3" w14:textId="777958B2" w:rsidR="004B351D" w:rsidRPr="002F4962" w:rsidRDefault="00E078FB" w:rsidP="00E078FB">
      <w:pPr>
        <w:jc w:val="both"/>
        <w:rPr>
          <w:rFonts w:ascii="Lato-Medium" w:hAnsi="Lato-Medium" w:cs="Arial"/>
          <w:sz w:val="20"/>
          <w:szCs w:val="20"/>
        </w:rPr>
      </w:pPr>
      <w:r w:rsidRPr="002F4962">
        <w:rPr>
          <w:rFonts w:ascii="Lato-Medium" w:hAnsi="Lato-Medium" w:cs="Arial"/>
          <w:sz w:val="20"/>
          <w:szCs w:val="20"/>
        </w:rPr>
        <w:t xml:space="preserve">n. 15 </w:t>
      </w:r>
      <w:proofErr w:type="spellStart"/>
      <w:r w:rsidRPr="002F4962">
        <w:rPr>
          <w:rFonts w:ascii="Lato-Medium" w:hAnsi="Lato-Medium" w:cs="Arial"/>
          <w:sz w:val="20"/>
          <w:szCs w:val="20"/>
        </w:rPr>
        <w:t>sent</w:t>
      </w:r>
      <w:proofErr w:type="spellEnd"/>
      <w:r w:rsidRPr="002F4962">
        <w:rPr>
          <w:rFonts w:ascii="Lato-Medium" w:hAnsi="Lato-Medium" w:cs="Arial"/>
          <w:sz w:val="20"/>
          <w:szCs w:val="20"/>
        </w:rPr>
        <w:t>. n. 1392/2024 Giudice di Pace Milano</w:t>
      </w:r>
    </w:p>
    <w:p w14:paraId="072A8E74" w14:textId="77777777" w:rsidR="005A7A71" w:rsidRPr="002F4962" w:rsidRDefault="005A7A71" w:rsidP="005A7A71">
      <w:pPr>
        <w:jc w:val="both"/>
        <w:rPr>
          <w:rFonts w:ascii="Lato-Medium" w:hAnsi="Lato-Medium" w:cs="Arial"/>
          <w:sz w:val="20"/>
          <w:szCs w:val="20"/>
        </w:rPr>
      </w:pPr>
    </w:p>
    <w:p w14:paraId="06A7B2AA" w14:textId="29D5C90A" w:rsidR="005A7A71" w:rsidRPr="002F4962" w:rsidRDefault="005A7A71" w:rsidP="005A7A71">
      <w:pPr>
        <w:jc w:val="both"/>
        <w:rPr>
          <w:rFonts w:ascii="Lato-Medium" w:hAnsi="Lato-Medium" w:cs="Arial"/>
          <w:sz w:val="20"/>
          <w:szCs w:val="20"/>
        </w:rPr>
      </w:pPr>
      <w:r w:rsidRPr="002F4962">
        <w:rPr>
          <w:rFonts w:ascii="Lato-Medium" w:hAnsi="Lato-Medium" w:cs="Arial"/>
          <w:sz w:val="20"/>
          <w:szCs w:val="20"/>
        </w:rPr>
        <w:t xml:space="preserve">Con riguardo al gruppo B) </w:t>
      </w:r>
      <w:r w:rsidRPr="002F4962">
        <w:rPr>
          <w:rFonts w:ascii="Lato-Medium" w:hAnsi="Lato-Medium" w:cs="Arial"/>
          <w:sz w:val="20"/>
          <w:szCs w:val="20"/>
          <w:u w:val="single"/>
        </w:rPr>
        <w:t>Difetto di notifica degli atti prodromici o vizi di altro tipo degli atti prodromici</w:t>
      </w:r>
      <w:r w:rsidRPr="002F4962">
        <w:rPr>
          <w:rFonts w:ascii="Lato-Medium" w:hAnsi="Lato-Medium" w:cs="Arial"/>
          <w:sz w:val="20"/>
          <w:szCs w:val="20"/>
        </w:rPr>
        <w:t>, sono ri</w:t>
      </w:r>
      <w:r w:rsidR="00DC417F" w:rsidRPr="002F4962">
        <w:rPr>
          <w:rFonts w:ascii="Lato-Medium" w:hAnsi="Lato-Medium" w:cs="Arial"/>
          <w:sz w:val="20"/>
          <w:szCs w:val="20"/>
        </w:rPr>
        <w:t xml:space="preserve">comprese le seguenti </w:t>
      </w:r>
      <w:r w:rsidR="000E6A2E" w:rsidRPr="002F4962">
        <w:rPr>
          <w:rFonts w:ascii="Lato-Medium" w:hAnsi="Lato-Medium" w:cs="Arial"/>
          <w:sz w:val="20"/>
          <w:szCs w:val="20"/>
        </w:rPr>
        <w:t>sette</w:t>
      </w:r>
      <w:r w:rsidRPr="002F4962">
        <w:rPr>
          <w:rFonts w:ascii="Lato-Medium" w:hAnsi="Lato-Medium" w:cs="Arial"/>
          <w:sz w:val="20"/>
          <w:szCs w:val="20"/>
        </w:rPr>
        <w:t xml:space="preserve"> sentenze:</w:t>
      </w:r>
    </w:p>
    <w:p w14:paraId="6A7DD1E9" w14:textId="77777777" w:rsidR="005A7A71" w:rsidRPr="002F4962" w:rsidRDefault="005A7A71" w:rsidP="005A7A71">
      <w:pPr>
        <w:jc w:val="both"/>
        <w:rPr>
          <w:rFonts w:ascii="Lato-Medium" w:hAnsi="Lato-Medium" w:cs="Arial"/>
          <w:sz w:val="20"/>
          <w:szCs w:val="20"/>
        </w:rPr>
      </w:pPr>
    </w:p>
    <w:p w14:paraId="49A8BC34" w14:textId="77777777" w:rsidR="000E6A2E" w:rsidRPr="002F4962" w:rsidRDefault="000E6A2E" w:rsidP="000E6A2E">
      <w:pPr>
        <w:jc w:val="both"/>
        <w:rPr>
          <w:rFonts w:ascii="Lato-Medium" w:hAnsi="Lato-Medium" w:cs="Arial"/>
          <w:sz w:val="20"/>
          <w:szCs w:val="20"/>
        </w:rPr>
      </w:pPr>
      <w:r w:rsidRPr="002F4962">
        <w:rPr>
          <w:rFonts w:ascii="Lato-Medium" w:hAnsi="Lato-Medium" w:cs="Arial"/>
          <w:sz w:val="20"/>
          <w:szCs w:val="20"/>
        </w:rPr>
        <w:t xml:space="preserve">n. 1 </w:t>
      </w:r>
      <w:proofErr w:type="spellStart"/>
      <w:r w:rsidRPr="002F4962">
        <w:rPr>
          <w:rFonts w:ascii="Lato-Medium" w:hAnsi="Lato-Medium" w:cs="Arial"/>
          <w:sz w:val="20"/>
          <w:szCs w:val="20"/>
        </w:rPr>
        <w:t>sent</w:t>
      </w:r>
      <w:proofErr w:type="spellEnd"/>
      <w:r w:rsidRPr="002F4962">
        <w:rPr>
          <w:rFonts w:ascii="Lato-Medium" w:hAnsi="Lato-Medium" w:cs="Arial"/>
          <w:sz w:val="20"/>
          <w:szCs w:val="20"/>
        </w:rPr>
        <w:t>. n. 2590/2024 Giudice di Pace Milano</w:t>
      </w:r>
    </w:p>
    <w:p w14:paraId="69490016" w14:textId="77777777" w:rsidR="000E6A2E" w:rsidRPr="002F4962" w:rsidRDefault="000E6A2E" w:rsidP="000E6A2E">
      <w:pPr>
        <w:jc w:val="both"/>
        <w:rPr>
          <w:rFonts w:ascii="Lato-Medium" w:hAnsi="Lato-Medium" w:cs="Arial"/>
          <w:sz w:val="20"/>
          <w:szCs w:val="20"/>
        </w:rPr>
      </w:pPr>
      <w:r w:rsidRPr="002F4962">
        <w:rPr>
          <w:rFonts w:ascii="Lato-Medium" w:hAnsi="Lato-Medium" w:cs="Arial"/>
          <w:sz w:val="20"/>
          <w:szCs w:val="20"/>
        </w:rPr>
        <w:t xml:space="preserve">n. 6 </w:t>
      </w:r>
      <w:proofErr w:type="spellStart"/>
      <w:r w:rsidRPr="002F4962">
        <w:rPr>
          <w:rFonts w:ascii="Lato-Medium" w:hAnsi="Lato-Medium" w:cs="Arial"/>
          <w:sz w:val="20"/>
          <w:szCs w:val="20"/>
        </w:rPr>
        <w:t>sent</w:t>
      </w:r>
      <w:proofErr w:type="spellEnd"/>
      <w:r w:rsidRPr="002F4962">
        <w:rPr>
          <w:rFonts w:ascii="Lato-Medium" w:hAnsi="Lato-Medium" w:cs="Arial"/>
          <w:sz w:val="20"/>
          <w:szCs w:val="20"/>
        </w:rPr>
        <w:t>. n. 2559/2024 Giudice di Pace Milano</w:t>
      </w:r>
    </w:p>
    <w:p w14:paraId="30954D18" w14:textId="77777777" w:rsidR="000E6A2E" w:rsidRPr="002F4962" w:rsidRDefault="000E6A2E" w:rsidP="000E6A2E">
      <w:pPr>
        <w:jc w:val="both"/>
        <w:rPr>
          <w:rFonts w:ascii="Lato-Medium" w:hAnsi="Lato-Medium" w:cs="Arial"/>
          <w:sz w:val="20"/>
          <w:szCs w:val="20"/>
        </w:rPr>
      </w:pPr>
      <w:r w:rsidRPr="002F4962">
        <w:rPr>
          <w:rFonts w:ascii="Lato-Medium" w:hAnsi="Lato-Medium" w:cs="Arial"/>
          <w:sz w:val="20"/>
          <w:szCs w:val="20"/>
        </w:rPr>
        <w:t xml:space="preserve">n. 7 </w:t>
      </w:r>
      <w:proofErr w:type="spellStart"/>
      <w:r w:rsidRPr="002F4962">
        <w:rPr>
          <w:rFonts w:ascii="Lato-Medium" w:hAnsi="Lato-Medium" w:cs="Arial"/>
          <w:sz w:val="20"/>
          <w:szCs w:val="20"/>
        </w:rPr>
        <w:t>sent</w:t>
      </w:r>
      <w:proofErr w:type="spellEnd"/>
      <w:r w:rsidRPr="002F4962">
        <w:rPr>
          <w:rFonts w:ascii="Lato-Medium" w:hAnsi="Lato-Medium" w:cs="Arial"/>
          <w:sz w:val="20"/>
          <w:szCs w:val="20"/>
        </w:rPr>
        <w:t>. n. 2521/2024 Giudice di Pace Milano</w:t>
      </w:r>
    </w:p>
    <w:p w14:paraId="6ABB6A48" w14:textId="77777777" w:rsidR="000E6A2E" w:rsidRPr="002F4962" w:rsidRDefault="000E6A2E" w:rsidP="000E6A2E">
      <w:pPr>
        <w:jc w:val="both"/>
        <w:rPr>
          <w:rFonts w:ascii="Lato-Medium" w:hAnsi="Lato-Medium" w:cs="Arial"/>
          <w:sz w:val="20"/>
          <w:szCs w:val="20"/>
        </w:rPr>
      </w:pPr>
      <w:r w:rsidRPr="002F4962">
        <w:rPr>
          <w:rFonts w:ascii="Lato-Medium" w:hAnsi="Lato-Medium" w:cs="Arial"/>
          <w:sz w:val="20"/>
          <w:szCs w:val="20"/>
        </w:rPr>
        <w:t xml:space="preserve">n. 9 </w:t>
      </w:r>
      <w:proofErr w:type="spellStart"/>
      <w:r w:rsidRPr="002F4962">
        <w:rPr>
          <w:rFonts w:ascii="Lato-Medium" w:hAnsi="Lato-Medium" w:cs="Arial"/>
          <w:sz w:val="20"/>
          <w:szCs w:val="20"/>
        </w:rPr>
        <w:t>sent</w:t>
      </w:r>
      <w:proofErr w:type="spellEnd"/>
      <w:r w:rsidRPr="002F4962">
        <w:rPr>
          <w:rFonts w:ascii="Lato-Medium" w:hAnsi="Lato-Medium" w:cs="Arial"/>
          <w:sz w:val="20"/>
          <w:szCs w:val="20"/>
        </w:rPr>
        <w:t>. n. 1549/2024 Giudice di Pace Milano</w:t>
      </w:r>
    </w:p>
    <w:p w14:paraId="32E940D2" w14:textId="77777777" w:rsidR="000E6A2E" w:rsidRPr="002F4962" w:rsidRDefault="000E6A2E" w:rsidP="000E6A2E">
      <w:pPr>
        <w:jc w:val="both"/>
        <w:rPr>
          <w:rFonts w:ascii="Lato-Medium" w:hAnsi="Lato-Medium" w:cs="Arial"/>
          <w:sz w:val="20"/>
          <w:szCs w:val="20"/>
        </w:rPr>
      </w:pPr>
      <w:r w:rsidRPr="002F4962">
        <w:rPr>
          <w:rFonts w:ascii="Lato-Medium" w:hAnsi="Lato-Medium" w:cs="Arial"/>
          <w:sz w:val="20"/>
          <w:szCs w:val="20"/>
        </w:rPr>
        <w:t xml:space="preserve">n. 10 </w:t>
      </w:r>
      <w:proofErr w:type="spellStart"/>
      <w:r w:rsidRPr="002F4962">
        <w:rPr>
          <w:rFonts w:ascii="Lato-Medium" w:hAnsi="Lato-Medium" w:cs="Arial"/>
          <w:sz w:val="20"/>
          <w:szCs w:val="20"/>
        </w:rPr>
        <w:t>sent</w:t>
      </w:r>
      <w:proofErr w:type="spellEnd"/>
      <w:r w:rsidRPr="002F4962">
        <w:rPr>
          <w:rFonts w:ascii="Lato-Medium" w:hAnsi="Lato-Medium" w:cs="Arial"/>
          <w:sz w:val="20"/>
          <w:szCs w:val="20"/>
        </w:rPr>
        <w:t>. n. 2621/2024 Giudice di Pace Milano</w:t>
      </w:r>
    </w:p>
    <w:p w14:paraId="39688B03" w14:textId="77777777" w:rsidR="000E6A2E" w:rsidRPr="002F4962" w:rsidRDefault="000E6A2E" w:rsidP="000E6A2E">
      <w:pPr>
        <w:jc w:val="both"/>
        <w:rPr>
          <w:rFonts w:ascii="Lato-Medium" w:hAnsi="Lato-Medium" w:cs="Arial"/>
          <w:sz w:val="20"/>
          <w:szCs w:val="20"/>
        </w:rPr>
      </w:pPr>
      <w:r w:rsidRPr="002F4962">
        <w:rPr>
          <w:rFonts w:ascii="Lato-Medium" w:hAnsi="Lato-Medium" w:cs="Arial"/>
          <w:sz w:val="20"/>
          <w:szCs w:val="20"/>
        </w:rPr>
        <w:t xml:space="preserve">n. 12 </w:t>
      </w:r>
      <w:proofErr w:type="spellStart"/>
      <w:r w:rsidRPr="002F4962">
        <w:rPr>
          <w:rFonts w:ascii="Lato-Medium" w:hAnsi="Lato-Medium" w:cs="Arial"/>
          <w:sz w:val="20"/>
          <w:szCs w:val="20"/>
        </w:rPr>
        <w:t>sent</w:t>
      </w:r>
      <w:proofErr w:type="spellEnd"/>
      <w:r w:rsidRPr="002F4962">
        <w:rPr>
          <w:rFonts w:ascii="Lato-Medium" w:hAnsi="Lato-Medium" w:cs="Arial"/>
          <w:sz w:val="20"/>
          <w:szCs w:val="20"/>
        </w:rPr>
        <w:t>. n. 2578/2024 Giudice di Pace Milano</w:t>
      </w:r>
    </w:p>
    <w:p w14:paraId="344FAAB3" w14:textId="5C4F5A2B" w:rsidR="000E6A2E" w:rsidRDefault="000E6A2E" w:rsidP="00DC417F">
      <w:pPr>
        <w:jc w:val="both"/>
        <w:rPr>
          <w:rFonts w:ascii="Lato-Medium" w:hAnsi="Lato-Medium" w:cs="Arial"/>
          <w:sz w:val="20"/>
          <w:szCs w:val="20"/>
        </w:rPr>
      </w:pPr>
      <w:r w:rsidRPr="002F4962">
        <w:rPr>
          <w:rFonts w:ascii="Lato-Medium" w:hAnsi="Lato-Medium" w:cs="Arial"/>
          <w:sz w:val="20"/>
          <w:szCs w:val="20"/>
        </w:rPr>
        <w:t xml:space="preserve">n. 13 </w:t>
      </w:r>
      <w:proofErr w:type="spellStart"/>
      <w:r w:rsidRPr="002F4962">
        <w:rPr>
          <w:rFonts w:ascii="Lato-Medium" w:hAnsi="Lato-Medium" w:cs="Arial"/>
          <w:sz w:val="20"/>
          <w:szCs w:val="20"/>
        </w:rPr>
        <w:t>sent</w:t>
      </w:r>
      <w:proofErr w:type="spellEnd"/>
      <w:r w:rsidRPr="002F4962">
        <w:rPr>
          <w:rFonts w:ascii="Lato-Medium" w:hAnsi="Lato-Medium" w:cs="Arial"/>
          <w:sz w:val="20"/>
          <w:szCs w:val="20"/>
        </w:rPr>
        <w:t>. n. 2525/2024 Giudice di Pace Milano</w:t>
      </w:r>
    </w:p>
    <w:p w14:paraId="1C441857" w14:textId="77777777" w:rsidR="006D7C91" w:rsidRDefault="006D7C91" w:rsidP="006D7C91">
      <w:pPr>
        <w:jc w:val="both"/>
        <w:rPr>
          <w:rFonts w:ascii="Lato-Medium" w:hAnsi="Lato-Medium" w:cs="Arial"/>
          <w:sz w:val="20"/>
          <w:szCs w:val="20"/>
        </w:rPr>
      </w:pPr>
    </w:p>
    <w:p w14:paraId="6322D2BE" w14:textId="77777777" w:rsidR="00C11CCC" w:rsidRPr="006946CD" w:rsidRDefault="00C11CCC">
      <w:pPr>
        <w:jc w:val="both"/>
        <w:rPr>
          <w:rFonts w:ascii="Lato-Medium" w:hAnsi="Lato-Medium" w:cs="Arial"/>
          <w:sz w:val="20"/>
          <w:szCs w:val="20"/>
        </w:rPr>
      </w:pPr>
    </w:p>
    <w:p w14:paraId="57417EFD" w14:textId="70986ED5" w:rsidR="004A52E3" w:rsidRPr="006946CD" w:rsidRDefault="00C11CCC" w:rsidP="00797E4E">
      <w:pPr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 xml:space="preserve">Il Direttore </w:t>
      </w:r>
      <w:r w:rsidR="00E02D1A">
        <w:rPr>
          <w:rFonts w:ascii="Lato-Medium" w:hAnsi="Lato-Medium" w:cs="Arial"/>
          <w:sz w:val="20"/>
          <w:szCs w:val="20"/>
        </w:rPr>
        <w:t>dell’Area Procedure Coattive</w:t>
      </w:r>
    </w:p>
    <w:p w14:paraId="1646BD9C" w14:textId="5B8796D4" w:rsidR="00797E4E" w:rsidRPr="006946CD" w:rsidRDefault="00797E4E" w:rsidP="00797E4E">
      <w:pPr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>D</w:t>
      </w:r>
      <w:r w:rsidR="00E02D1A">
        <w:rPr>
          <w:rFonts w:ascii="Lato-Medium" w:hAnsi="Lato-Medium" w:cs="Arial"/>
          <w:sz w:val="20"/>
          <w:szCs w:val="20"/>
        </w:rPr>
        <w:t>r. Andrea Lanzi</w:t>
      </w:r>
    </w:p>
    <w:p w14:paraId="63912156" w14:textId="77777777" w:rsidR="004A52E3" w:rsidRPr="006946CD" w:rsidRDefault="00C11CCC">
      <w:pPr>
        <w:jc w:val="both"/>
        <w:rPr>
          <w:rFonts w:ascii="Lato-Medium" w:hAnsi="Lato-Medium" w:cs="Arial"/>
          <w:sz w:val="20"/>
          <w:szCs w:val="20"/>
        </w:rPr>
      </w:pPr>
      <w:r w:rsidRPr="006946CD">
        <w:rPr>
          <w:rFonts w:ascii="Lato-Medium" w:hAnsi="Lato-Medium" w:cs="Arial"/>
          <w:sz w:val="20"/>
          <w:szCs w:val="20"/>
        </w:rPr>
        <w:t xml:space="preserve">F.to digitalmente </w:t>
      </w:r>
    </w:p>
    <w:p w14:paraId="51B8BCC7" w14:textId="77777777" w:rsidR="00C11CCC" w:rsidRPr="006946CD" w:rsidRDefault="00C11CCC">
      <w:pPr>
        <w:jc w:val="both"/>
        <w:rPr>
          <w:rFonts w:ascii="Lato-Medium" w:hAnsi="Lato-Medium" w:cs="Arial"/>
          <w:sz w:val="20"/>
          <w:szCs w:val="20"/>
        </w:rPr>
      </w:pPr>
    </w:p>
    <w:p w14:paraId="372F04A5" w14:textId="77777777" w:rsidR="00C11CCC" w:rsidRPr="006946CD" w:rsidRDefault="00C11CCC">
      <w:pPr>
        <w:jc w:val="both"/>
        <w:rPr>
          <w:rFonts w:ascii="Lato-Medium" w:hAnsi="Lato-Medium" w:cs="Arial"/>
          <w:sz w:val="20"/>
          <w:szCs w:val="20"/>
        </w:rPr>
      </w:pPr>
    </w:p>
    <w:sectPr w:rsidR="00C11CCC" w:rsidRPr="006946CD">
      <w:pgSz w:w="11906" w:h="16838"/>
      <w:pgMar w:top="1417" w:right="1558" w:bottom="1134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ato Heavy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Times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ato Medium">
    <w:altName w:val="Calibri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Lato-Medium">
    <w:altName w:val="Segoe U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1357F"/>
    <w:multiLevelType w:val="hybridMultilevel"/>
    <w:tmpl w:val="0F9E61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410E5C"/>
    <w:multiLevelType w:val="hybridMultilevel"/>
    <w:tmpl w:val="40CE9F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360E91"/>
    <w:multiLevelType w:val="hybridMultilevel"/>
    <w:tmpl w:val="E04C82F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84F66"/>
    <w:multiLevelType w:val="multilevel"/>
    <w:tmpl w:val="7B364884"/>
    <w:lvl w:ilvl="0">
      <w:start w:val="1"/>
      <w:numFmt w:val="bullet"/>
      <w:lvlText w:val=""/>
      <w:lvlJc w:val="left"/>
      <w:pPr>
        <w:tabs>
          <w:tab w:val="num" w:pos="0"/>
        </w:tabs>
        <w:ind w:left="709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2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49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69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58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09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29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4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69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EA71091"/>
    <w:multiLevelType w:val="hybridMultilevel"/>
    <w:tmpl w:val="4706155C"/>
    <w:lvl w:ilvl="0" w:tplc="FF5CF4D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283"/>
  <w:characterSpacingControl w:val="doNotCompress"/>
  <w:compat>
    <w:compatSetting w:name="compatibilityMode" w:uri="http://schemas.microsoft.com/office/word" w:val="12"/>
  </w:compat>
  <w:rsids>
    <w:rsidRoot w:val="004A52E3"/>
    <w:rsid w:val="00012DA2"/>
    <w:rsid w:val="0002607A"/>
    <w:rsid w:val="00090CDE"/>
    <w:rsid w:val="000A6F29"/>
    <w:rsid w:val="000E6A2E"/>
    <w:rsid w:val="00191D7F"/>
    <w:rsid w:val="00203444"/>
    <w:rsid w:val="002F4962"/>
    <w:rsid w:val="00356A7C"/>
    <w:rsid w:val="00391F3B"/>
    <w:rsid w:val="003D54C5"/>
    <w:rsid w:val="004A52E3"/>
    <w:rsid w:val="004B351D"/>
    <w:rsid w:val="004F0E58"/>
    <w:rsid w:val="00577829"/>
    <w:rsid w:val="005A002E"/>
    <w:rsid w:val="005A29F1"/>
    <w:rsid w:val="005A7A71"/>
    <w:rsid w:val="005F3D23"/>
    <w:rsid w:val="00620D19"/>
    <w:rsid w:val="00621A31"/>
    <w:rsid w:val="00626345"/>
    <w:rsid w:val="00667C51"/>
    <w:rsid w:val="006946CD"/>
    <w:rsid w:val="00697AF0"/>
    <w:rsid w:val="006D7C91"/>
    <w:rsid w:val="006E699C"/>
    <w:rsid w:val="006F01A8"/>
    <w:rsid w:val="0070626A"/>
    <w:rsid w:val="00797E4E"/>
    <w:rsid w:val="007C36BB"/>
    <w:rsid w:val="00834ED3"/>
    <w:rsid w:val="00856B64"/>
    <w:rsid w:val="00890019"/>
    <w:rsid w:val="00903EBD"/>
    <w:rsid w:val="00956038"/>
    <w:rsid w:val="009967CC"/>
    <w:rsid w:val="009F0B8A"/>
    <w:rsid w:val="00A20991"/>
    <w:rsid w:val="00A461AA"/>
    <w:rsid w:val="00AA4A45"/>
    <w:rsid w:val="00AD3DC4"/>
    <w:rsid w:val="00AE00BC"/>
    <w:rsid w:val="00B204A4"/>
    <w:rsid w:val="00B94690"/>
    <w:rsid w:val="00BC3B7C"/>
    <w:rsid w:val="00BE6D54"/>
    <w:rsid w:val="00C06173"/>
    <w:rsid w:val="00C11CCC"/>
    <w:rsid w:val="00C86526"/>
    <w:rsid w:val="00C9426E"/>
    <w:rsid w:val="00DA6E98"/>
    <w:rsid w:val="00DC417F"/>
    <w:rsid w:val="00E02D1A"/>
    <w:rsid w:val="00E078FB"/>
    <w:rsid w:val="00E369B5"/>
    <w:rsid w:val="00F86F66"/>
    <w:rsid w:val="00FE2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1137B78"/>
  <w15:docId w15:val="{CAC2D9A0-D7C9-4069-B6A8-F1EC264AA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20B42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qFormat/>
    <w:rsid w:val="00420B42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qFormat/>
    <w:rsid w:val="00420B42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F1E3F"/>
    <w:rPr>
      <w:rFonts w:ascii="Tahoma" w:eastAsia="Times New Roman" w:hAnsi="Tahoma" w:cs="Tahoma"/>
      <w:sz w:val="16"/>
      <w:szCs w:val="16"/>
      <w:lang w:eastAsia="it-IT"/>
    </w:rPr>
  </w:style>
  <w:style w:type="paragraph" w:styleId="Titolo">
    <w:name w:val="Title"/>
    <w:basedOn w:val="Normale"/>
    <w:next w:val="Corpotesto"/>
    <w:qFormat/>
    <w:rsid w:val="006937A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rsid w:val="006937AA"/>
    <w:pPr>
      <w:spacing w:after="140" w:line="276" w:lineRule="auto"/>
    </w:pPr>
  </w:style>
  <w:style w:type="paragraph" w:styleId="Elenco">
    <w:name w:val="List"/>
    <w:basedOn w:val="Corpotesto"/>
    <w:rsid w:val="006937AA"/>
    <w:rPr>
      <w:rFonts w:cs="Arial"/>
    </w:rPr>
  </w:style>
  <w:style w:type="paragraph" w:styleId="Didascalia">
    <w:name w:val="caption"/>
    <w:basedOn w:val="Normale"/>
    <w:qFormat/>
    <w:rsid w:val="006937AA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qFormat/>
    <w:rsid w:val="006937AA"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  <w:rsid w:val="006937AA"/>
  </w:style>
  <w:style w:type="paragraph" w:styleId="Intestazione">
    <w:name w:val="header"/>
    <w:basedOn w:val="Normale"/>
    <w:link w:val="IntestazioneCarattere"/>
    <w:rsid w:val="00420B42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Corpodeltesto2">
    <w:name w:val="Body Text 2"/>
    <w:basedOn w:val="Normale"/>
    <w:link w:val="Corpodeltesto2Carattere"/>
    <w:unhideWhenUsed/>
    <w:qFormat/>
    <w:rsid w:val="00420B42"/>
    <w:pPr>
      <w:spacing w:line="360" w:lineRule="auto"/>
      <w:ind w:right="356"/>
    </w:pPr>
    <w:rPr>
      <w:b/>
      <w:szCs w:val="20"/>
    </w:rPr>
  </w:style>
  <w:style w:type="paragraph" w:styleId="Nessunaspaziatura">
    <w:name w:val="No Spacing"/>
    <w:basedOn w:val="Normale"/>
    <w:uiPriority w:val="1"/>
    <w:qFormat/>
    <w:rsid w:val="00E04E00"/>
    <w:rPr>
      <w:rFonts w:ascii="Lato Heavy" w:eastAsia="Times" w:hAnsi="Lato Heavy"/>
      <w:sz w:val="18"/>
    </w:rPr>
  </w:style>
  <w:style w:type="paragraph" w:styleId="Paragrafoelenco">
    <w:name w:val="List Paragraph"/>
    <w:basedOn w:val="Normale"/>
    <w:uiPriority w:val="34"/>
    <w:qFormat/>
    <w:rsid w:val="005944C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F1E3F"/>
    <w:rPr>
      <w:rFonts w:ascii="Tahoma" w:hAnsi="Tahoma" w:cs="Tahoma"/>
      <w:sz w:val="16"/>
      <w:szCs w:val="16"/>
    </w:rPr>
  </w:style>
  <w:style w:type="paragraph" w:customStyle="1" w:styleId="Contenutocornice">
    <w:name w:val="Contenuto cornice"/>
    <w:basedOn w:val="Normale"/>
    <w:qFormat/>
    <w:rsid w:val="006937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3</Pages>
  <Words>1071</Words>
  <Characters>6111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Comune di Milano</Company>
  <LinksUpToDate>false</LinksUpToDate>
  <CharactersWithSpaces>7168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Gennarino Arabia</dc:creator>
  <dc:description/>
  <cp:lastModifiedBy>Maria Teresa Persico</cp:lastModifiedBy>
  <cp:revision>86</cp:revision>
  <cp:lastPrinted>2024-04-24T14:00:00Z</cp:lastPrinted>
  <dcterms:created xsi:type="dcterms:W3CDTF">2022-01-20T07:06:00Z</dcterms:created>
  <dcterms:modified xsi:type="dcterms:W3CDTF">2024-06-25T09:01:00Z</dcterms:modified>
  <dc:language>it-IT</dc:language>
</cp:coreProperties>
</file>